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BA852" w14:textId="16FE4FB5" w:rsidR="00EA1520" w:rsidRPr="007127FB" w:rsidRDefault="007C0CCF" w:rsidP="00952AF9">
      <w:pPr>
        <w:spacing w:before="0" w:after="1320"/>
      </w:pPr>
      <w:bookmarkStart w:id="0" w:name="_Hlk221790699"/>
      <w:bookmarkEnd w:id="0"/>
      <w:r>
        <w:rPr>
          <w:noProof/>
        </w:rPr>
        <w:drawing>
          <wp:anchor distT="0" distB="0" distL="114300" distR="114300" simplePos="0" relativeHeight="251659264" behindDoc="1" locked="0" layoutInCell="1" allowOverlap="1" wp14:anchorId="35448961" wp14:editId="7426656F">
            <wp:simplePos x="0" y="0"/>
            <wp:positionH relativeFrom="margin">
              <wp:align>center</wp:align>
            </wp:positionH>
            <wp:positionV relativeFrom="margin">
              <wp:align>center</wp:align>
            </wp:positionV>
            <wp:extent cx="7959090" cy="11105515"/>
            <wp:effectExtent l="0" t="0" r="3810" b="635"/>
            <wp:wrapNone/>
            <wp:docPr id="678801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0159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9090" cy="11105515"/>
                    </a:xfrm>
                    <a:prstGeom prst="rect">
                      <a:avLst/>
                    </a:prstGeom>
                  </pic:spPr>
                </pic:pic>
              </a:graphicData>
            </a:graphic>
            <wp14:sizeRelH relativeFrom="page">
              <wp14:pctWidth>0</wp14:pctWidth>
            </wp14:sizeRelH>
            <wp14:sizeRelV relativeFrom="page">
              <wp14:pctHeight>0</wp14:pctHeight>
            </wp14:sizeRelV>
          </wp:anchor>
        </w:drawing>
      </w:r>
      <w:r w:rsidR="00EE34E2">
        <w:rPr>
          <w:noProof/>
        </w:rPr>
        <w:drawing>
          <wp:inline distT="0" distB="0" distL="0" distR="0" wp14:anchorId="2FB7705B" wp14:editId="12AF8FA5">
            <wp:extent cx="3642180" cy="684000"/>
            <wp:effectExtent l="0" t="0" r="0" b="1905"/>
            <wp:docPr id="11" name="Picture 11"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tional Anti-Corruption Commiss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180" cy="684000"/>
                    </a:xfrm>
                    <a:prstGeom prst="rect">
                      <a:avLst/>
                    </a:prstGeom>
                  </pic:spPr>
                </pic:pic>
              </a:graphicData>
            </a:graphic>
          </wp:inline>
        </w:drawing>
      </w:r>
    </w:p>
    <w:p w14:paraId="29701DA4" w14:textId="77777777" w:rsidR="003776AA" w:rsidRPr="00434A7D" w:rsidRDefault="005828F5" w:rsidP="00434A7D">
      <w:pPr>
        <w:pStyle w:val="Title"/>
        <w:rPr>
          <w:szCs w:val="48"/>
        </w:rPr>
      </w:pPr>
      <w:bookmarkStart w:id="1" w:name="_Toc164326767"/>
      <w:bookmarkStart w:id="2" w:name="_Toc168474295"/>
      <w:bookmarkStart w:id="3" w:name="_Toc173764644"/>
      <w:bookmarkStart w:id="4" w:name="_Toc173764767"/>
      <w:bookmarkStart w:id="5" w:name="_Toc175731398"/>
      <w:bookmarkStart w:id="6" w:name="_Toc175731461"/>
      <w:bookmarkStart w:id="7" w:name="_Toc207008214"/>
      <w:bookmarkStart w:id="8" w:name="_Toc221793661"/>
      <w:bookmarkStart w:id="9" w:name="_Toc221793681"/>
      <w:r w:rsidRPr="00434A7D">
        <w:rPr>
          <w:szCs w:val="48"/>
        </w:rPr>
        <w:t>Corporate Plan</w:t>
      </w:r>
      <w:bookmarkEnd w:id="1"/>
      <w:bookmarkEnd w:id="2"/>
    </w:p>
    <w:p w14:paraId="48C7EA80" w14:textId="08F49120" w:rsidR="00E67444" w:rsidRPr="00434A7D" w:rsidRDefault="00F30B00" w:rsidP="00434A7D">
      <w:pPr>
        <w:pStyle w:val="Title"/>
        <w:rPr>
          <w:rFonts w:asciiTheme="majorHAnsi" w:hAnsiTheme="majorHAnsi"/>
        </w:rPr>
      </w:pPr>
      <w:r w:rsidRPr="00434A7D">
        <w:rPr>
          <w:rFonts w:asciiTheme="majorHAnsi" w:hAnsiTheme="majorHAnsi"/>
          <w:szCs w:val="48"/>
        </w:rPr>
        <w:t>202</w:t>
      </w:r>
      <w:bookmarkEnd w:id="3"/>
      <w:bookmarkEnd w:id="4"/>
      <w:r w:rsidR="007C0CCF" w:rsidRPr="00434A7D">
        <w:rPr>
          <w:rFonts w:asciiTheme="majorHAnsi" w:hAnsiTheme="majorHAnsi"/>
          <w:szCs w:val="48"/>
        </w:rPr>
        <w:t>5</w:t>
      </w:r>
      <w:r w:rsidR="00C3564B" w:rsidRPr="00434A7D">
        <w:rPr>
          <w:rFonts w:asciiTheme="majorHAnsi" w:hAnsiTheme="majorHAnsi"/>
          <w:szCs w:val="48"/>
        </w:rPr>
        <w:t>–</w:t>
      </w:r>
      <w:r w:rsidR="005828F5" w:rsidRPr="00434A7D">
        <w:rPr>
          <w:rFonts w:asciiTheme="majorHAnsi" w:hAnsiTheme="majorHAnsi"/>
          <w:szCs w:val="48"/>
        </w:rPr>
        <w:t>2</w:t>
      </w:r>
      <w:bookmarkEnd w:id="5"/>
      <w:bookmarkEnd w:id="6"/>
      <w:r w:rsidR="007C0CCF" w:rsidRPr="00434A7D">
        <w:rPr>
          <w:rFonts w:asciiTheme="majorHAnsi" w:hAnsiTheme="majorHAnsi"/>
          <w:szCs w:val="48"/>
        </w:rPr>
        <w:t>9</w:t>
      </w:r>
      <w:bookmarkEnd w:id="7"/>
      <w:bookmarkEnd w:id="8"/>
      <w:bookmarkEnd w:id="9"/>
    </w:p>
    <w:p w14:paraId="237BA120" w14:textId="4BCF24F6" w:rsidR="00F75BAF" w:rsidRPr="0073786F" w:rsidRDefault="00F75BAF" w:rsidP="0073786F">
      <w:pPr>
        <w:spacing w:before="8640"/>
        <w:rPr>
          <w:rFonts w:ascii="Work Sans Light" w:hAnsi="Work Sans Light"/>
          <w:b/>
          <w:bCs/>
          <w:color w:val="E1E8F6" w:themeColor="background1"/>
          <w:sz w:val="28"/>
          <w:szCs w:val="28"/>
        </w:rPr>
        <w:sectPr w:rsidR="00F75BAF" w:rsidRPr="0073786F" w:rsidSect="00952AF9">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134" w:right="1440" w:bottom="340" w:left="1440" w:header="709" w:footer="284" w:gutter="0"/>
          <w:cols w:space="708"/>
          <w:titlePg/>
          <w:docGrid w:linePitch="360"/>
        </w:sectPr>
      </w:pPr>
      <w:bookmarkStart w:id="10" w:name="_Hlk146207730"/>
      <w:r w:rsidRPr="00317C60">
        <w:rPr>
          <w:rFonts w:ascii="Work Sans SemiBold" w:hAnsi="Work Sans SemiBold"/>
          <w:color w:val="FFFFFF" w:themeColor="accent5"/>
          <w:sz w:val="28"/>
          <w:szCs w:val="28"/>
        </w:rPr>
        <w:t>nacc</w:t>
      </w:r>
      <w:r w:rsidRPr="00317C60">
        <w:rPr>
          <w:rFonts w:ascii="Work Sans Light" w:hAnsi="Work Sans Light"/>
          <w:color w:val="FFFFFF" w:themeColor="accent5"/>
          <w:sz w:val="28"/>
          <w:szCs w:val="28"/>
        </w:rPr>
        <w:t>.gov.au</w:t>
      </w:r>
    </w:p>
    <w:p w14:paraId="1D6F7AAC" w14:textId="1D4D32F5" w:rsidR="001A67E8" w:rsidRPr="00F249C5" w:rsidRDefault="001A67E8" w:rsidP="00F249C5">
      <w:pPr>
        <w:pStyle w:val="Imprintpage"/>
        <w:rPr>
          <w:b/>
          <w:bCs/>
        </w:rPr>
      </w:pPr>
      <w:bookmarkStart w:id="11" w:name="_Toc168474297"/>
      <w:bookmarkStart w:id="12" w:name="_Toc173764646"/>
      <w:bookmarkStart w:id="13" w:name="_Toc173764769"/>
      <w:bookmarkStart w:id="14" w:name="_Toc175731400"/>
      <w:bookmarkStart w:id="15" w:name="_Toc175731463"/>
      <w:r w:rsidRPr="00F249C5">
        <w:rPr>
          <w:b/>
          <w:bCs/>
        </w:rPr>
        <w:lastRenderedPageBreak/>
        <w:t>Further information</w:t>
      </w:r>
      <w:bookmarkEnd w:id="11"/>
      <w:bookmarkEnd w:id="12"/>
      <w:bookmarkEnd w:id="13"/>
      <w:bookmarkEnd w:id="14"/>
      <w:bookmarkEnd w:id="15"/>
    </w:p>
    <w:p w14:paraId="04E69ACC" w14:textId="22D15AD2" w:rsidR="001A67E8" w:rsidRPr="00F249C5" w:rsidRDefault="001A67E8" w:rsidP="00F249C5">
      <w:pPr>
        <w:pStyle w:val="Imprintpage"/>
      </w:pPr>
      <w:r w:rsidRPr="00F249C5">
        <w:t>Enquiries about this report should be directed</w:t>
      </w:r>
      <w:r w:rsidR="008745B1" w:rsidRPr="00F249C5">
        <w:t xml:space="preserve"> </w:t>
      </w:r>
      <w:r w:rsidRPr="00F249C5">
        <w:t>to the National Anti-Corruption Commission.</w:t>
      </w:r>
    </w:p>
    <w:p w14:paraId="1DCD2DFF" w14:textId="77777777" w:rsidR="001A67E8" w:rsidRPr="00F249C5" w:rsidRDefault="001A67E8" w:rsidP="00F249C5">
      <w:pPr>
        <w:pStyle w:val="Imprintpage"/>
        <w:contextualSpacing/>
      </w:pPr>
      <w:r w:rsidRPr="00F249C5">
        <w:t>Phone: 1300 489 844</w:t>
      </w:r>
    </w:p>
    <w:p w14:paraId="636A57B7" w14:textId="7CB74823" w:rsidR="001A67E8" w:rsidRPr="00F249C5" w:rsidRDefault="001A67E8" w:rsidP="00F249C5">
      <w:pPr>
        <w:pStyle w:val="Imprintpage"/>
        <w:contextualSpacing/>
      </w:pPr>
      <w:r w:rsidRPr="00F249C5">
        <w:t xml:space="preserve">Website: </w:t>
      </w:r>
      <w:hyperlink r:id="rId16" w:history="1">
        <w:r w:rsidRPr="00F249C5">
          <w:rPr>
            <w:rStyle w:val="Hyperlink"/>
          </w:rPr>
          <w:t>nacc.gov.au</w:t>
        </w:r>
      </w:hyperlink>
    </w:p>
    <w:p w14:paraId="33D0F394" w14:textId="3DA53B29" w:rsidR="001A67E8" w:rsidRPr="00F249C5" w:rsidRDefault="001A67E8" w:rsidP="00F249C5">
      <w:pPr>
        <w:pStyle w:val="Imprintpage"/>
        <w:contextualSpacing/>
      </w:pPr>
      <w:r w:rsidRPr="00F249C5">
        <w:t>Post: GPO Box 605, Canberra ACT 2601</w:t>
      </w:r>
    </w:p>
    <w:p w14:paraId="30B9D433" w14:textId="3D4CF8F5" w:rsidR="00BF346B" w:rsidRPr="00F249C5" w:rsidRDefault="00BF346B" w:rsidP="00F249C5">
      <w:pPr>
        <w:pStyle w:val="Imprintpage"/>
      </w:pPr>
      <w:r w:rsidRPr="00F249C5">
        <w:t>Address: 5 Constitution Avenue, Canberra ACT 2601</w:t>
      </w:r>
    </w:p>
    <w:p w14:paraId="29756956" w14:textId="53D0C37A" w:rsidR="001A67E8" w:rsidRPr="00F249C5" w:rsidRDefault="001A67E8" w:rsidP="00F249C5">
      <w:pPr>
        <w:pStyle w:val="Imprintpage"/>
        <w:rPr>
          <w:b/>
          <w:bCs/>
        </w:rPr>
      </w:pPr>
      <w:bookmarkStart w:id="16" w:name="_Toc168474298"/>
      <w:bookmarkStart w:id="17" w:name="_Toc173764647"/>
      <w:bookmarkStart w:id="18" w:name="_Toc173764770"/>
      <w:bookmarkStart w:id="19" w:name="_Toc175731401"/>
      <w:bookmarkStart w:id="20" w:name="_Toc175731464"/>
      <w:r w:rsidRPr="00F249C5">
        <w:rPr>
          <w:b/>
          <w:bCs/>
        </w:rPr>
        <w:t>Copyright</w:t>
      </w:r>
      <w:bookmarkEnd w:id="16"/>
      <w:bookmarkEnd w:id="17"/>
      <w:bookmarkEnd w:id="18"/>
      <w:bookmarkEnd w:id="19"/>
      <w:bookmarkEnd w:id="20"/>
    </w:p>
    <w:p w14:paraId="27325E3E" w14:textId="77777777" w:rsidR="006C5DEF" w:rsidRPr="00F249C5" w:rsidRDefault="006C5DEF" w:rsidP="00F249C5">
      <w:pPr>
        <w:pStyle w:val="Imprintpage"/>
      </w:pPr>
      <w:r w:rsidRPr="00F249C5">
        <w:rPr>
          <w:noProof/>
        </w:rPr>
        <w:drawing>
          <wp:inline distT="0" distB="0" distL="0" distR="0" wp14:anchorId="3C01821B" wp14:editId="20E9160F">
            <wp:extent cx="1073150" cy="373115"/>
            <wp:effectExtent l="0" t="0" r="0" b="8255"/>
            <wp:docPr id="2" name="Picture 2" descr="The icon for CC BY license: credit must be given to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con for CC BY license: credit must be given to the creat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953" cy="376523"/>
                    </a:xfrm>
                    <a:prstGeom prst="rect">
                      <a:avLst/>
                    </a:prstGeom>
                    <a:noFill/>
                    <a:ln>
                      <a:noFill/>
                    </a:ln>
                  </pic:spPr>
                </pic:pic>
              </a:graphicData>
            </a:graphic>
          </wp:inline>
        </w:drawing>
      </w:r>
    </w:p>
    <w:p w14:paraId="244FBF2B" w14:textId="5534AB35" w:rsidR="00BF346B" w:rsidRPr="00F249C5" w:rsidRDefault="00BF346B" w:rsidP="00F249C5">
      <w:pPr>
        <w:pStyle w:val="Imprintpage"/>
      </w:pPr>
      <w:r w:rsidRPr="00F249C5">
        <w:t>©</w:t>
      </w:r>
      <w:r w:rsidRPr="00F249C5">
        <w:t> </w:t>
      </w:r>
      <w:r w:rsidRPr="00F249C5">
        <w:t>Commonwealth of Australia 202</w:t>
      </w:r>
      <w:r w:rsidR="00DA6AD5" w:rsidRPr="00F249C5">
        <w:t>5</w:t>
      </w:r>
    </w:p>
    <w:p w14:paraId="0E9E743D" w14:textId="5495FB49" w:rsidR="001A67E8" w:rsidRPr="00F249C5" w:rsidRDefault="001A67E8" w:rsidP="00F249C5">
      <w:pPr>
        <w:pStyle w:val="Imprintpage"/>
      </w:pPr>
      <w:r w:rsidRPr="00F249C5">
        <w:t>The material in this report is licensed under a Creative Commons</w:t>
      </w:r>
      <w:r w:rsidR="008745B1" w:rsidRPr="00F249C5">
        <w:t xml:space="preserve"> </w:t>
      </w:r>
      <w:r w:rsidRPr="00F249C5">
        <w:t xml:space="preserve">Attribution — 4.0 international license, </w:t>
      </w:r>
      <w:proofErr w:type="gramStart"/>
      <w:r w:rsidRPr="00F249C5">
        <w:t>with the exception of</w:t>
      </w:r>
      <w:proofErr w:type="gramEnd"/>
      <w:r w:rsidRPr="00F249C5">
        <w:t>:</w:t>
      </w:r>
    </w:p>
    <w:p w14:paraId="6FDE03BA" w14:textId="4E8319C0" w:rsidR="001A67E8" w:rsidRPr="00F249C5" w:rsidRDefault="001A67E8" w:rsidP="00F249C5">
      <w:pPr>
        <w:pStyle w:val="Imprintpage"/>
        <w:numPr>
          <w:ilvl w:val="0"/>
          <w:numId w:val="16"/>
        </w:numPr>
        <w:ind w:left="714" w:hanging="357"/>
        <w:contextualSpacing/>
      </w:pPr>
      <w:r w:rsidRPr="00F249C5">
        <w:t>the Commonwealth Coat of Arms</w:t>
      </w:r>
    </w:p>
    <w:p w14:paraId="3341DFEC" w14:textId="15B4A74E" w:rsidR="001A67E8" w:rsidRPr="00F249C5" w:rsidRDefault="001A67E8" w:rsidP="00F249C5">
      <w:pPr>
        <w:pStyle w:val="Imprintpage"/>
        <w:numPr>
          <w:ilvl w:val="0"/>
          <w:numId w:val="16"/>
        </w:numPr>
        <w:ind w:left="714" w:hanging="357"/>
        <w:contextualSpacing/>
      </w:pPr>
      <w:r w:rsidRPr="00F249C5">
        <w:t>the National Anti-Corruption Commission logo</w:t>
      </w:r>
    </w:p>
    <w:p w14:paraId="01382333" w14:textId="1C737DFA" w:rsidR="001A67E8" w:rsidRPr="00F249C5" w:rsidRDefault="001A67E8" w:rsidP="00F249C5">
      <w:pPr>
        <w:pStyle w:val="Imprintpage"/>
        <w:numPr>
          <w:ilvl w:val="0"/>
          <w:numId w:val="16"/>
        </w:numPr>
        <w:ind w:left="714" w:hanging="357"/>
        <w:contextualSpacing/>
      </w:pPr>
      <w:r w:rsidRPr="00F249C5">
        <w:t>any third-party material</w:t>
      </w:r>
    </w:p>
    <w:p w14:paraId="61AB136C" w14:textId="60684D8A" w:rsidR="001A67E8" w:rsidRPr="00F249C5" w:rsidRDefault="001A67E8" w:rsidP="00F249C5">
      <w:pPr>
        <w:pStyle w:val="Imprintpage"/>
        <w:numPr>
          <w:ilvl w:val="0"/>
          <w:numId w:val="16"/>
        </w:numPr>
        <w:ind w:left="714" w:hanging="357"/>
        <w:contextualSpacing/>
      </w:pPr>
      <w:r w:rsidRPr="00F249C5">
        <w:t>any material protected by a trademark</w:t>
      </w:r>
    </w:p>
    <w:p w14:paraId="703084AB" w14:textId="77777777" w:rsidR="0047526B" w:rsidRPr="00F249C5" w:rsidRDefault="001A67E8" w:rsidP="00F249C5">
      <w:pPr>
        <w:pStyle w:val="Imprintpage"/>
        <w:numPr>
          <w:ilvl w:val="0"/>
          <w:numId w:val="16"/>
        </w:numPr>
      </w:pPr>
      <w:r w:rsidRPr="00F249C5">
        <w:t>any images and/or photographs.</w:t>
      </w:r>
    </w:p>
    <w:p w14:paraId="105E96E0" w14:textId="2906F577" w:rsidR="001A67E8" w:rsidRPr="00F249C5" w:rsidRDefault="001A67E8" w:rsidP="00F249C5">
      <w:pPr>
        <w:pStyle w:val="Imprintpage"/>
      </w:pPr>
      <w:r w:rsidRPr="00F249C5">
        <w:t xml:space="preserve">More information on this CC BY license is set out as follows: </w:t>
      </w:r>
    </w:p>
    <w:p w14:paraId="17CEC181" w14:textId="06A61EDB" w:rsidR="001A67E8" w:rsidRPr="00F249C5" w:rsidRDefault="001A67E8" w:rsidP="00F249C5">
      <w:pPr>
        <w:pStyle w:val="Imprintpage"/>
        <w:numPr>
          <w:ilvl w:val="0"/>
          <w:numId w:val="17"/>
        </w:numPr>
        <w:ind w:left="714" w:hanging="357"/>
        <w:contextualSpacing/>
        <w:rPr>
          <w:rStyle w:val="Hyperlink"/>
        </w:rPr>
      </w:pPr>
      <w:hyperlink r:id="rId18" w:history="1">
        <w:r w:rsidRPr="00F249C5">
          <w:rPr>
            <w:rStyle w:val="Hyperlink"/>
          </w:rPr>
          <w:t>Creative Commons website</w:t>
        </w:r>
      </w:hyperlink>
    </w:p>
    <w:p w14:paraId="3E715EDA" w14:textId="0A192644" w:rsidR="003E7561" w:rsidRPr="00F249C5" w:rsidRDefault="001A67E8" w:rsidP="00F249C5">
      <w:pPr>
        <w:pStyle w:val="Imprintpage"/>
        <w:numPr>
          <w:ilvl w:val="0"/>
          <w:numId w:val="17"/>
        </w:numPr>
      </w:pPr>
      <w:hyperlink r:id="rId19" w:history="1">
        <w:r w:rsidRPr="00F249C5">
          <w:rPr>
            <w:rStyle w:val="Hyperlink"/>
          </w:rPr>
          <w:t>Attribution 4.0 international (CC by 4.0)</w:t>
        </w:r>
      </w:hyperlink>
      <w:r w:rsidR="00A5339F" w:rsidRPr="00F249C5">
        <w:t>.</w:t>
      </w:r>
    </w:p>
    <w:p w14:paraId="6BC1B648" w14:textId="48E2B901" w:rsidR="001A67E8" w:rsidRPr="00F249C5" w:rsidRDefault="001A67E8" w:rsidP="00F249C5">
      <w:pPr>
        <w:pStyle w:val="Imprintpage"/>
        <w:rPr>
          <w:b/>
          <w:bCs/>
        </w:rPr>
      </w:pPr>
      <w:bookmarkStart w:id="21" w:name="_Toc168474299"/>
      <w:bookmarkStart w:id="22" w:name="_Toc173764648"/>
      <w:bookmarkStart w:id="23" w:name="_Toc173764771"/>
      <w:bookmarkStart w:id="24" w:name="_Toc175731402"/>
      <w:bookmarkStart w:id="25" w:name="_Toc175731465"/>
      <w:r w:rsidRPr="00F249C5">
        <w:rPr>
          <w:b/>
          <w:bCs/>
        </w:rPr>
        <w:t>Attribution</w:t>
      </w:r>
      <w:bookmarkEnd w:id="21"/>
      <w:bookmarkEnd w:id="22"/>
      <w:bookmarkEnd w:id="23"/>
      <w:bookmarkEnd w:id="24"/>
      <w:bookmarkEnd w:id="25"/>
    </w:p>
    <w:p w14:paraId="1E9B4662" w14:textId="65F7F447" w:rsidR="00DA6AD5" w:rsidRPr="00F249C5" w:rsidRDefault="001A67E8" w:rsidP="00F249C5">
      <w:pPr>
        <w:pStyle w:val="Imprintpage"/>
      </w:pPr>
      <w:r w:rsidRPr="00F249C5">
        <w:t>The CC BY licence is a standard form licence agreement that allows you to copy and redistribute the material in any medium or format, as well as remix, transform and build upon the material.</w:t>
      </w:r>
    </w:p>
    <w:p w14:paraId="017AD3E8" w14:textId="387B08E3" w:rsidR="001A67E8" w:rsidRPr="00F249C5" w:rsidRDefault="001A67E8" w:rsidP="00F249C5">
      <w:pPr>
        <w:pStyle w:val="Imprintpage"/>
      </w:pPr>
      <w:r w:rsidRPr="00F249C5">
        <w:t>This is on the condition that you provide a link to the licence, you indicate if changes were made and you attribute the material as follows:</w:t>
      </w:r>
    </w:p>
    <w:p w14:paraId="6279F881" w14:textId="4B4F4DDE" w:rsidR="0047526B" w:rsidRPr="00F249C5" w:rsidRDefault="0047526B" w:rsidP="00F249C5">
      <w:pPr>
        <w:pStyle w:val="Imprintpage"/>
        <w:rPr>
          <w:i/>
          <w:iCs/>
        </w:rPr>
      </w:pPr>
      <w:r w:rsidRPr="00F249C5">
        <w:rPr>
          <w:i/>
          <w:iCs/>
        </w:rPr>
        <w:t>National Anti-Corruption Commission</w:t>
      </w:r>
      <w:r w:rsidRPr="00F249C5">
        <w:rPr>
          <w:i/>
          <w:iCs/>
        </w:rPr>
        <w:br/>
      </w:r>
      <w:r w:rsidR="00CF163D" w:rsidRPr="00F249C5">
        <w:rPr>
          <w:i/>
          <w:iCs/>
        </w:rPr>
        <w:t>Corporate Plan 202</w:t>
      </w:r>
      <w:r w:rsidR="003E7561" w:rsidRPr="00F249C5">
        <w:rPr>
          <w:i/>
          <w:iCs/>
        </w:rPr>
        <w:t>5</w:t>
      </w:r>
      <w:r w:rsidR="00CF163D" w:rsidRPr="00F249C5">
        <w:rPr>
          <w:i/>
          <w:iCs/>
        </w:rPr>
        <w:t>–2</w:t>
      </w:r>
      <w:r w:rsidR="003E7561" w:rsidRPr="00F249C5">
        <w:rPr>
          <w:i/>
          <w:iCs/>
        </w:rPr>
        <w:t>9</w:t>
      </w:r>
    </w:p>
    <w:p w14:paraId="4C73BCB3" w14:textId="11C60898" w:rsidR="001A67E8" w:rsidRPr="00F249C5" w:rsidRDefault="001A67E8" w:rsidP="00F249C5">
      <w:pPr>
        <w:pStyle w:val="Imprintpage"/>
      </w:pPr>
      <w:r w:rsidRPr="00F249C5">
        <w:t>Licensed from the Commonwealth of Australia under a Creative Commons Attribution 4.0 International licence.</w:t>
      </w:r>
    </w:p>
    <w:p w14:paraId="05F220B7" w14:textId="2730FCEA" w:rsidR="008A6E81" w:rsidRPr="00F249C5" w:rsidRDefault="008A6E81" w:rsidP="00F249C5">
      <w:pPr>
        <w:pStyle w:val="Imprintpage"/>
      </w:pPr>
      <w:r w:rsidRPr="00F249C5">
        <w:t xml:space="preserve">ISSN: </w:t>
      </w:r>
      <w:r w:rsidR="009C7837" w:rsidRPr="00F249C5">
        <w:t>2982-1282 (Online)</w:t>
      </w:r>
      <w:r w:rsidRPr="00F249C5">
        <w:br/>
        <w:t xml:space="preserve">ISSN: </w:t>
      </w:r>
      <w:r w:rsidR="00242BAE" w:rsidRPr="00F249C5">
        <w:t>2982-1274 (Print)</w:t>
      </w:r>
    </w:p>
    <w:p w14:paraId="1973C6B1" w14:textId="29A84B25" w:rsidR="001A67E8" w:rsidRPr="00F249C5" w:rsidRDefault="001A67E8" w:rsidP="00F249C5">
      <w:pPr>
        <w:pStyle w:val="Imprintpage"/>
        <w:rPr>
          <w:b/>
          <w:bCs/>
        </w:rPr>
      </w:pPr>
      <w:bookmarkStart w:id="26" w:name="_Toc168474300"/>
      <w:bookmarkStart w:id="27" w:name="_Toc173764649"/>
      <w:bookmarkStart w:id="28" w:name="_Toc173764772"/>
      <w:bookmarkStart w:id="29" w:name="_Toc175731403"/>
      <w:bookmarkStart w:id="30" w:name="_Toc175731466"/>
      <w:r w:rsidRPr="00F249C5">
        <w:rPr>
          <w:b/>
          <w:bCs/>
        </w:rPr>
        <w:t>Using the Commonwealth Coat of Arms</w:t>
      </w:r>
      <w:bookmarkEnd w:id="26"/>
      <w:bookmarkEnd w:id="27"/>
      <w:bookmarkEnd w:id="28"/>
      <w:bookmarkEnd w:id="29"/>
      <w:bookmarkEnd w:id="30"/>
    </w:p>
    <w:p w14:paraId="6976A6E9" w14:textId="31CACA0F" w:rsidR="00A17989" w:rsidRPr="00F249C5" w:rsidRDefault="001A67E8" w:rsidP="00F249C5">
      <w:pPr>
        <w:pStyle w:val="Imprintpage"/>
      </w:pPr>
      <w:r w:rsidRPr="00F249C5">
        <w:t xml:space="preserve">Guidelines for using the Commonwealth Coat of Arms are available from </w:t>
      </w:r>
      <w:r w:rsidRPr="00F249C5">
        <w:rPr>
          <w:rStyle w:val="Hyperlink"/>
        </w:rPr>
        <w:t xml:space="preserve">the </w:t>
      </w:r>
      <w:hyperlink r:id="rId20" w:history="1">
        <w:r w:rsidR="001E74A1" w:rsidRPr="00F249C5">
          <w:rPr>
            <w:rStyle w:val="Hyperlink"/>
          </w:rPr>
          <w:t>Department of the Prime Minister and Cabinet website</w:t>
        </w:r>
      </w:hyperlink>
      <w:r w:rsidRPr="00F249C5">
        <w:t>.</w:t>
      </w:r>
      <w:r w:rsidR="00A17989" w:rsidRPr="00F249C5">
        <w:br w:type="page"/>
      </w:r>
    </w:p>
    <w:p w14:paraId="18180CAE" w14:textId="77777777" w:rsidR="00F249C5" w:rsidRDefault="00F249C5" w:rsidP="00F249C5">
      <w:r>
        <w:rPr>
          <w:noProof/>
        </w:rPr>
        <w:lastRenderedPageBreak/>
        <w:drawing>
          <wp:inline distT="0" distB="0" distL="0" distR="0" wp14:anchorId="4F27BA7C" wp14:editId="57C96E5E">
            <wp:extent cx="5785360" cy="5785360"/>
            <wp:effectExtent l="0" t="0" r="6350" b="6350"/>
            <wp:docPr id="1836494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94958"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5360" cy="5785360"/>
                    </a:xfrm>
                    <a:prstGeom prst="rect">
                      <a:avLst/>
                    </a:prstGeom>
                  </pic:spPr>
                </pic:pic>
              </a:graphicData>
            </a:graphic>
          </wp:inline>
        </w:drawing>
      </w:r>
    </w:p>
    <w:p w14:paraId="5604D51A" w14:textId="3626372C" w:rsidR="001243F5" w:rsidRDefault="00DA6AD5" w:rsidP="001243F5">
      <w:r w:rsidRPr="001243F5">
        <w:t>In the spirit of reconciliation, the National Anti‑Corruption Commission acknowledges the Traditional Custodians of Country throughout Australia and their connections to land, sea and community. We pay our respect to their Elders</w:t>
      </w:r>
      <w:r w:rsidR="00AB7525">
        <w:t xml:space="preserve"> </w:t>
      </w:r>
      <w:r w:rsidRPr="001243F5">
        <w:t>past and present and extend that respect to all Aboriginal and Torres</w:t>
      </w:r>
      <w:r w:rsidR="00AB7525">
        <w:t xml:space="preserve"> </w:t>
      </w:r>
      <w:r w:rsidRPr="001243F5">
        <w:t>Strait Islander peoples today.</w:t>
      </w:r>
      <w:r w:rsidR="001243F5">
        <w:br w:type="page"/>
      </w:r>
    </w:p>
    <w:p w14:paraId="0A7DB441" w14:textId="15B04292" w:rsidR="004530F6" w:rsidRPr="001243F5" w:rsidRDefault="004530F6" w:rsidP="00F249C5">
      <w:r w:rsidRPr="001243F5">
        <w:lastRenderedPageBreak/>
        <w:t>This artwork tells the story of the National Anti‑Corruption Commission’s mission to enhance integrity within the Commonwealth</w:t>
      </w:r>
      <w:r w:rsidR="00AB7525">
        <w:t xml:space="preserve"> </w:t>
      </w:r>
      <w:r w:rsidRPr="001243F5">
        <w:t>public sector.</w:t>
      </w:r>
    </w:p>
    <w:p w14:paraId="1378C701" w14:textId="71AC54D7" w:rsidR="004530F6" w:rsidRPr="001243F5" w:rsidRDefault="004530F6" w:rsidP="00F249C5">
      <w:r w:rsidRPr="001243F5">
        <w:t>It is made up of many multicoloured strokes, depicting our team’s many weaving histories. At</w:t>
      </w:r>
      <w:r w:rsidR="00AB7525">
        <w:t xml:space="preserve"> </w:t>
      </w:r>
      <w:r w:rsidRPr="001243F5">
        <w:t>the core of the artwork are three white patterned rings, representing detecting, deterring, and preventing corruption. Our approach is fearless but fair and we work towards our goals with integrity, determination, and courage. We are on a journey to build a culture of unity, inclusion,</w:t>
      </w:r>
      <w:r w:rsidR="00AB7525">
        <w:t xml:space="preserve"> </w:t>
      </w:r>
      <w:r w:rsidRPr="001243F5">
        <w:t>and trust as we grow.</w:t>
      </w:r>
    </w:p>
    <w:p w14:paraId="1B773D58" w14:textId="56983AE9" w:rsidR="004530F6" w:rsidRPr="001243F5" w:rsidRDefault="004530F6" w:rsidP="00F249C5">
      <w:r w:rsidRPr="001243F5">
        <w:t>Our people working together are represented by white dots between each of the lines. At the heart of the artwork is the central element, encapsulating our commitment to contributing to reconciliation as we work to create a culturally safe environment where First Nations staff and partners feel</w:t>
      </w:r>
      <w:r w:rsidR="00AB7525">
        <w:t xml:space="preserve"> </w:t>
      </w:r>
      <w:r w:rsidRPr="001243F5">
        <w:t>respected and included.</w:t>
      </w:r>
    </w:p>
    <w:p w14:paraId="4879137D" w14:textId="77777777" w:rsidR="004530F6" w:rsidRPr="001243F5" w:rsidRDefault="004530F6" w:rsidP="00F249C5">
      <w:pPr>
        <w:rPr>
          <w:b/>
          <w:bCs/>
        </w:rPr>
      </w:pPr>
      <w:bookmarkStart w:id="31" w:name="_Toc207008215"/>
      <w:r w:rsidRPr="001243F5">
        <w:rPr>
          <w:b/>
          <w:bCs/>
        </w:rPr>
        <w:t>Integrity at Our Heart</w:t>
      </w:r>
      <w:bookmarkEnd w:id="31"/>
    </w:p>
    <w:p w14:paraId="4400DCCF" w14:textId="7536E076" w:rsidR="00016CA7" w:rsidRDefault="004530F6" w:rsidP="00F249C5">
      <w:r w:rsidRPr="001243F5">
        <w:t>The artwork concept and narrative were developed by Navada Currie. Navada is a Mununjali</w:t>
      </w:r>
      <w:r w:rsidR="00AB7525">
        <w:t xml:space="preserve"> </w:t>
      </w:r>
      <w:r w:rsidRPr="001243F5">
        <w:t>and Kabi</w:t>
      </w:r>
      <w:r w:rsidR="00AB7525">
        <w:t xml:space="preserve"> </w:t>
      </w:r>
      <w:proofErr w:type="spellStart"/>
      <w:r w:rsidRPr="001243F5">
        <w:t>Kabi</w:t>
      </w:r>
      <w:proofErr w:type="spellEnd"/>
      <w:r w:rsidRPr="001243F5">
        <w:t xml:space="preserve"> artist at Gilimbaa.</w:t>
      </w:r>
    </w:p>
    <w:sdt>
      <w:sdtPr>
        <w:id w:val="707451251"/>
        <w:docPartObj>
          <w:docPartGallery w:val="Table of Contents"/>
          <w:docPartUnique/>
        </w:docPartObj>
      </w:sdtPr>
      <w:sdtEndPr>
        <w:rPr>
          <w:rFonts w:ascii="Work Sans" w:hAnsi="Work Sans" w:cstheme="minorBidi"/>
          <w:b/>
          <w:noProof/>
          <w:sz w:val="24"/>
          <w:szCs w:val="24"/>
          <w:lang w:val="en-AU"/>
        </w:rPr>
      </w:sdtEndPr>
      <w:sdtContent>
        <w:p w14:paraId="6E2A5650" w14:textId="6AC4A5B0" w:rsidR="00016CA7" w:rsidRDefault="00016CA7">
          <w:pPr>
            <w:pStyle w:val="TOCHeading"/>
          </w:pPr>
          <w:r>
            <w:t>Contents</w:t>
          </w:r>
        </w:p>
        <w:p w14:paraId="52A65EF4" w14:textId="0EC0392D" w:rsidR="00016CA7" w:rsidRDefault="00016CA7">
          <w:pPr>
            <w:pStyle w:val="TOC1"/>
            <w:rPr>
              <w:rFonts w:eastAsiaTheme="minorEastAsia" w:cstheme="minorBidi"/>
              <w:b/>
              <w:color w:val="auto"/>
              <w:kern w:val="2"/>
              <w:sz w:val="24"/>
              <w:szCs w:val="24"/>
              <w:lang w:eastAsia="en-AU"/>
              <w14:ligatures w14:val="standardContextual"/>
            </w:rPr>
          </w:pPr>
          <w:r>
            <w:rPr>
              <w:rFonts w:asciiTheme="minorHAnsi" w:hAnsiTheme="minorHAnsi"/>
            </w:rPr>
            <w:fldChar w:fldCharType="begin"/>
          </w:r>
          <w:r>
            <w:rPr>
              <w:rFonts w:asciiTheme="minorHAnsi" w:hAnsiTheme="minorHAnsi"/>
            </w:rPr>
            <w:instrText xml:space="preserve"> TOC \o "2-2" \h \z \t "Heading 1,1,Heading 1 Numbered,1" </w:instrText>
          </w:r>
          <w:r>
            <w:rPr>
              <w:rFonts w:asciiTheme="minorHAnsi" w:hAnsiTheme="minorHAnsi"/>
            </w:rPr>
            <w:fldChar w:fldCharType="separate"/>
          </w:r>
          <w:hyperlink w:anchor="_Toc221801452" w:history="1">
            <w:r w:rsidRPr="00AB7883">
              <w:rPr>
                <w:rStyle w:val="Hyperlink"/>
              </w:rPr>
              <w:t>Commissioner’s</w:t>
            </w:r>
            <w:r w:rsidRPr="00AB7883">
              <w:rPr>
                <w:rStyle w:val="Hyperlink"/>
                <w:lang w:val="en-GB"/>
              </w:rPr>
              <w:t xml:space="preserve"> foreword</w:t>
            </w:r>
            <w:r>
              <w:rPr>
                <w:webHidden/>
              </w:rPr>
              <w:tab/>
            </w:r>
            <w:r>
              <w:rPr>
                <w:webHidden/>
              </w:rPr>
              <w:fldChar w:fldCharType="begin"/>
            </w:r>
            <w:r>
              <w:rPr>
                <w:webHidden/>
              </w:rPr>
              <w:instrText xml:space="preserve"> PAGEREF _Toc221801452 \h </w:instrText>
            </w:r>
            <w:r>
              <w:rPr>
                <w:webHidden/>
              </w:rPr>
            </w:r>
            <w:r>
              <w:rPr>
                <w:webHidden/>
              </w:rPr>
              <w:fldChar w:fldCharType="separate"/>
            </w:r>
            <w:r>
              <w:rPr>
                <w:webHidden/>
              </w:rPr>
              <w:t>6</w:t>
            </w:r>
            <w:r>
              <w:rPr>
                <w:webHidden/>
              </w:rPr>
              <w:fldChar w:fldCharType="end"/>
            </w:r>
          </w:hyperlink>
        </w:p>
        <w:p w14:paraId="53958E28" w14:textId="5D48B8B0" w:rsidR="00016CA7" w:rsidRDefault="00016CA7">
          <w:pPr>
            <w:pStyle w:val="TOC1"/>
            <w:rPr>
              <w:rFonts w:eastAsiaTheme="minorEastAsia" w:cstheme="minorBidi"/>
              <w:b/>
              <w:color w:val="auto"/>
              <w:kern w:val="2"/>
              <w:sz w:val="24"/>
              <w:szCs w:val="24"/>
              <w:lang w:eastAsia="en-AU"/>
              <w14:ligatures w14:val="standardContextual"/>
            </w:rPr>
          </w:pPr>
          <w:hyperlink w:anchor="_Toc221801453" w:history="1">
            <w:r w:rsidRPr="00AB7883">
              <w:rPr>
                <w:rStyle w:val="Hyperlink"/>
                <w:lang w:val="en-GB"/>
              </w:rPr>
              <w:t>Introduction</w:t>
            </w:r>
            <w:r>
              <w:rPr>
                <w:webHidden/>
              </w:rPr>
              <w:tab/>
            </w:r>
            <w:r>
              <w:rPr>
                <w:webHidden/>
              </w:rPr>
              <w:fldChar w:fldCharType="begin"/>
            </w:r>
            <w:r>
              <w:rPr>
                <w:webHidden/>
              </w:rPr>
              <w:instrText xml:space="preserve"> PAGEREF _Toc221801453 \h </w:instrText>
            </w:r>
            <w:r>
              <w:rPr>
                <w:webHidden/>
              </w:rPr>
            </w:r>
            <w:r>
              <w:rPr>
                <w:webHidden/>
              </w:rPr>
              <w:fldChar w:fldCharType="separate"/>
            </w:r>
            <w:r>
              <w:rPr>
                <w:webHidden/>
              </w:rPr>
              <w:t>12</w:t>
            </w:r>
            <w:r>
              <w:rPr>
                <w:webHidden/>
              </w:rPr>
              <w:fldChar w:fldCharType="end"/>
            </w:r>
          </w:hyperlink>
        </w:p>
        <w:p w14:paraId="2B7B745E" w14:textId="0503E09A" w:rsidR="00016CA7" w:rsidRDefault="00016CA7">
          <w:pPr>
            <w:pStyle w:val="TOC1"/>
            <w:rPr>
              <w:rFonts w:eastAsiaTheme="minorEastAsia" w:cstheme="minorBidi"/>
              <w:b/>
              <w:color w:val="auto"/>
              <w:kern w:val="2"/>
              <w:sz w:val="24"/>
              <w:szCs w:val="24"/>
              <w:lang w:eastAsia="en-AU"/>
              <w14:ligatures w14:val="standardContextual"/>
            </w:rPr>
          </w:pPr>
          <w:hyperlink w:anchor="_Toc221801454" w:history="1">
            <w:r w:rsidRPr="00AB7883">
              <w:rPr>
                <w:rStyle w:val="Hyperlink"/>
                <w:lang w:val="en-GB"/>
              </w:rPr>
              <w:t>Purpose</w:t>
            </w:r>
            <w:r>
              <w:rPr>
                <w:webHidden/>
              </w:rPr>
              <w:tab/>
            </w:r>
            <w:r>
              <w:rPr>
                <w:webHidden/>
              </w:rPr>
              <w:fldChar w:fldCharType="begin"/>
            </w:r>
            <w:r>
              <w:rPr>
                <w:webHidden/>
              </w:rPr>
              <w:instrText xml:space="preserve"> PAGEREF _Toc221801454 \h </w:instrText>
            </w:r>
            <w:r>
              <w:rPr>
                <w:webHidden/>
              </w:rPr>
            </w:r>
            <w:r>
              <w:rPr>
                <w:webHidden/>
              </w:rPr>
              <w:fldChar w:fldCharType="separate"/>
            </w:r>
            <w:r>
              <w:rPr>
                <w:webHidden/>
              </w:rPr>
              <w:t>14</w:t>
            </w:r>
            <w:r>
              <w:rPr>
                <w:webHidden/>
              </w:rPr>
              <w:fldChar w:fldCharType="end"/>
            </w:r>
          </w:hyperlink>
        </w:p>
        <w:p w14:paraId="3A2BF9D7" w14:textId="31FD3853" w:rsidR="00016CA7" w:rsidRDefault="00016CA7">
          <w:pPr>
            <w:pStyle w:val="TOC1"/>
            <w:rPr>
              <w:rFonts w:eastAsiaTheme="minorEastAsia" w:cstheme="minorBidi"/>
              <w:b/>
              <w:color w:val="auto"/>
              <w:kern w:val="2"/>
              <w:sz w:val="24"/>
              <w:szCs w:val="24"/>
              <w:lang w:eastAsia="en-AU"/>
              <w14:ligatures w14:val="standardContextual"/>
            </w:rPr>
          </w:pPr>
          <w:hyperlink w:anchor="_Toc221801455" w:history="1">
            <w:r w:rsidRPr="00AB7883">
              <w:rPr>
                <w:rStyle w:val="Hyperlink"/>
                <w:lang w:val="en-GB"/>
              </w:rPr>
              <w:t>Key activities</w:t>
            </w:r>
            <w:r>
              <w:rPr>
                <w:webHidden/>
              </w:rPr>
              <w:tab/>
            </w:r>
            <w:r>
              <w:rPr>
                <w:webHidden/>
              </w:rPr>
              <w:fldChar w:fldCharType="begin"/>
            </w:r>
            <w:r>
              <w:rPr>
                <w:webHidden/>
              </w:rPr>
              <w:instrText xml:space="preserve"> PAGEREF _Toc221801455 \h </w:instrText>
            </w:r>
            <w:r>
              <w:rPr>
                <w:webHidden/>
              </w:rPr>
            </w:r>
            <w:r>
              <w:rPr>
                <w:webHidden/>
              </w:rPr>
              <w:fldChar w:fldCharType="separate"/>
            </w:r>
            <w:r>
              <w:rPr>
                <w:webHidden/>
              </w:rPr>
              <w:t>18</w:t>
            </w:r>
            <w:r>
              <w:rPr>
                <w:webHidden/>
              </w:rPr>
              <w:fldChar w:fldCharType="end"/>
            </w:r>
          </w:hyperlink>
        </w:p>
        <w:p w14:paraId="441C6FB8" w14:textId="2A5C58BF"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56" w:history="1">
            <w:r w:rsidRPr="00AB7883">
              <w:rPr>
                <w:rStyle w:val="Hyperlink"/>
                <w:lang w:val="en-GB"/>
              </w:rPr>
              <w:t>Detecting corruption</w:t>
            </w:r>
            <w:r>
              <w:rPr>
                <w:webHidden/>
              </w:rPr>
              <w:tab/>
            </w:r>
            <w:r>
              <w:rPr>
                <w:webHidden/>
              </w:rPr>
              <w:fldChar w:fldCharType="begin"/>
            </w:r>
            <w:r>
              <w:rPr>
                <w:webHidden/>
              </w:rPr>
              <w:instrText xml:space="preserve"> PAGEREF _Toc221801456 \h </w:instrText>
            </w:r>
            <w:r>
              <w:rPr>
                <w:webHidden/>
              </w:rPr>
            </w:r>
            <w:r>
              <w:rPr>
                <w:webHidden/>
              </w:rPr>
              <w:fldChar w:fldCharType="separate"/>
            </w:r>
            <w:r>
              <w:rPr>
                <w:webHidden/>
              </w:rPr>
              <w:t>19</w:t>
            </w:r>
            <w:r>
              <w:rPr>
                <w:webHidden/>
              </w:rPr>
              <w:fldChar w:fldCharType="end"/>
            </w:r>
          </w:hyperlink>
        </w:p>
        <w:p w14:paraId="11F6ABAE" w14:textId="3795BB41"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57" w:history="1">
            <w:r w:rsidRPr="00AB7883">
              <w:rPr>
                <w:rStyle w:val="Hyperlink"/>
                <w:lang w:val="en-GB"/>
              </w:rPr>
              <w:t>Receiving and assessing referrals</w:t>
            </w:r>
            <w:r>
              <w:rPr>
                <w:webHidden/>
              </w:rPr>
              <w:tab/>
            </w:r>
            <w:r>
              <w:rPr>
                <w:webHidden/>
              </w:rPr>
              <w:fldChar w:fldCharType="begin"/>
            </w:r>
            <w:r>
              <w:rPr>
                <w:webHidden/>
              </w:rPr>
              <w:instrText xml:space="preserve"> PAGEREF _Toc221801457 \h </w:instrText>
            </w:r>
            <w:r>
              <w:rPr>
                <w:webHidden/>
              </w:rPr>
            </w:r>
            <w:r>
              <w:rPr>
                <w:webHidden/>
              </w:rPr>
              <w:fldChar w:fldCharType="separate"/>
            </w:r>
            <w:r>
              <w:rPr>
                <w:webHidden/>
              </w:rPr>
              <w:t>19</w:t>
            </w:r>
            <w:r>
              <w:rPr>
                <w:webHidden/>
              </w:rPr>
              <w:fldChar w:fldCharType="end"/>
            </w:r>
          </w:hyperlink>
        </w:p>
        <w:p w14:paraId="3F24F0C7" w14:textId="7EC3DFAF"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58" w:history="1">
            <w:r w:rsidRPr="00AB7883">
              <w:rPr>
                <w:rStyle w:val="Hyperlink"/>
                <w:lang w:val="en-GB"/>
              </w:rPr>
              <w:t>Conducting investigations</w:t>
            </w:r>
            <w:r>
              <w:rPr>
                <w:webHidden/>
              </w:rPr>
              <w:tab/>
            </w:r>
            <w:r>
              <w:rPr>
                <w:webHidden/>
              </w:rPr>
              <w:fldChar w:fldCharType="begin"/>
            </w:r>
            <w:r>
              <w:rPr>
                <w:webHidden/>
              </w:rPr>
              <w:instrText xml:space="preserve"> PAGEREF _Toc221801458 \h </w:instrText>
            </w:r>
            <w:r>
              <w:rPr>
                <w:webHidden/>
              </w:rPr>
            </w:r>
            <w:r>
              <w:rPr>
                <w:webHidden/>
              </w:rPr>
              <w:fldChar w:fldCharType="separate"/>
            </w:r>
            <w:r>
              <w:rPr>
                <w:webHidden/>
              </w:rPr>
              <w:t>21</w:t>
            </w:r>
            <w:r>
              <w:rPr>
                <w:webHidden/>
              </w:rPr>
              <w:fldChar w:fldCharType="end"/>
            </w:r>
          </w:hyperlink>
        </w:p>
        <w:p w14:paraId="0735CF79" w14:textId="4E2B1D2D"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59" w:history="1">
            <w:r w:rsidRPr="00AB7883">
              <w:rPr>
                <w:rStyle w:val="Hyperlink"/>
                <w:lang w:val="en-GB"/>
              </w:rPr>
              <w:t>Referring corruption issues to other Commonwealth agencies for investigation</w:t>
            </w:r>
            <w:r>
              <w:rPr>
                <w:webHidden/>
              </w:rPr>
              <w:tab/>
            </w:r>
            <w:r>
              <w:rPr>
                <w:webHidden/>
              </w:rPr>
              <w:fldChar w:fldCharType="begin"/>
            </w:r>
            <w:r>
              <w:rPr>
                <w:webHidden/>
              </w:rPr>
              <w:instrText xml:space="preserve"> PAGEREF _Toc221801459 \h </w:instrText>
            </w:r>
            <w:r>
              <w:rPr>
                <w:webHidden/>
              </w:rPr>
            </w:r>
            <w:r>
              <w:rPr>
                <w:webHidden/>
              </w:rPr>
              <w:fldChar w:fldCharType="separate"/>
            </w:r>
            <w:r>
              <w:rPr>
                <w:webHidden/>
              </w:rPr>
              <w:t>22</w:t>
            </w:r>
            <w:r>
              <w:rPr>
                <w:webHidden/>
              </w:rPr>
              <w:fldChar w:fldCharType="end"/>
            </w:r>
          </w:hyperlink>
        </w:p>
        <w:p w14:paraId="36650BE1" w14:textId="322D12CA"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60" w:history="1">
            <w:r w:rsidRPr="00AB7883">
              <w:rPr>
                <w:rStyle w:val="Hyperlink"/>
                <w:lang w:val="en-GB"/>
              </w:rPr>
              <w:t>Creating and disseminating corruption prevention information and education</w:t>
            </w:r>
            <w:r>
              <w:rPr>
                <w:webHidden/>
              </w:rPr>
              <w:tab/>
            </w:r>
            <w:r>
              <w:rPr>
                <w:webHidden/>
              </w:rPr>
              <w:fldChar w:fldCharType="begin"/>
            </w:r>
            <w:r>
              <w:rPr>
                <w:webHidden/>
              </w:rPr>
              <w:instrText xml:space="preserve"> PAGEREF _Toc221801460 \h </w:instrText>
            </w:r>
            <w:r>
              <w:rPr>
                <w:webHidden/>
              </w:rPr>
            </w:r>
            <w:r>
              <w:rPr>
                <w:webHidden/>
              </w:rPr>
              <w:fldChar w:fldCharType="separate"/>
            </w:r>
            <w:r>
              <w:rPr>
                <w:webHidden/>
              </w:rPr>
              <w:t>23</w:t>
            </w:r>
            <w:r>
              <w:rPr>
                <w:webHidden/>
              </w:rPr>
              <w:fldChar w:fldCharType="end"/>
            </w:r>
          </w:hyperlink>
        </w:p>
        <w:p w14:paraId="5D85960C" w14:textId="7996A66B" w:rsidR="00016CA7" w:rsidRDefault="00016CA7">
          <w:pPr>
            <w:pStyle w:val="TOC1"/>
            <w:rPr>
              <w:rFonts w:eastAsiaTheme="minorEastAsia" w:cstheme="minorBidi"/>
              <w:b/>
              <w:color w:val="auto"/>
              <w:kern w:val="2"/>
              <w:sz w:val="24"/>
              <w:szCs w:val="24"/>
              <w:lang w:eastAsia="en-AU"/>
              <w14:ligatures w14:val="standardContextual"/>
            </w:rPr>
          </w:pPr>
          <w:hyperlink w:anchor="_Toc221801461" w:history="1">
            <w:r w:rsidRPr="00AB7883">
              <w:rPr>
                <w:rStyle w:val="Hyperlink"/>
                <w:lang w:val="en-GB"/>
              </w:rPr>
              <w:t>Operating context</w:t>
            </w:r>
            <w:r>
              <w:rPr>
                <w:webHidden/>
              </w:rPr>
              <w:tab/>
            </w:r>
            <w:r>
              <w:rPr>
                <w:webHidden/>
              </w:rPr>
              <w:fldChar w:fldCharType="begin"/>
            </w:r>
            <w:r>
              <w:rPr>
                <w:webHidden/>
              </w:rPr>
              <w:instrText xml:space="preserve"> PAGEREF _Toc221801461 \h </w:instrText>
            </w:r>
            <w:r>
              <w:rPr>
                <w:webHidden/>
              </w:rPr>
            </w:r>
            <w:r>
              <w:rPr>
                <w:webHidden/>
              </w:rPr>
              <w:fldChar w:fldCharType="separate"/>
            </w:r>
            <w:r>
              <w:rPr>
                <w:webHidden/>
              </w:rPr>
              <w:t>25</w:t>
            </w:r>
            <w:r>
              <w:rPr>
                <w:webHidden/>
              </w:rPr>
              <w:fldChar w:fldCharType="end"/>
            </w:r>
          </w:hyperlink>
        </w:p>
        <w:p w14:paraId="68DA25FF" w14:textId="4ECDD9F4"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62" w:history="1">
            <w:r w:rsidRPr="00AB7883">
              <w:rPr>
                <w:rStyle w:val="Hyperlink"/>
                <w:lang w:val="en-GB"/>
              </w:rPr>
              <w:t>Operating environment</w:t>
            </w:r>
            <w:r>
              <w:rPr>
                <w:webHidden/>
              </w:rPr>
              <w:tab/>
            </w:r>
            <w:r>
              <w:rPr>
                <w:webHidden/>
              </w:rPr>
              <w:fldChar w:fldCharType="begin"/>
            </w:r>
            <w:r>
              <w:rPr>
                <w:webHidden/>
              </w:rPr>
              <w:instrText xml:space="preserve"> PAGEREF _Toc221801462 \h </w:instrText>
            </w:r>
            <w:r>
              <w:rPr>
                <w:webHidden/>
              </w:rPr>
            </w:r>
            <w:r>
              <w:rPr>
                <w:webHidden/>
              </w:rPr>
              <w:fldChar w:fldCharType="separate"/>
            </w:r>
            <w:r>
              <w:rPr>
                <w:webHidden/>
              </w:rPr>
              <w:t>25</w:t>
            </w:r>
            <w:r>
              <w:rPr>
                <w:webHidden/>
              </w:rPr>
              <w:fldChar w:fldCharType="end"/>
            </w:r>
          </w:hyperlink>
        </w:p>
        <w:p w14:paraId="13F08719" w14:textId="14F31D35"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63" w:history="1">
            <w:r w:rsidRPr="00AB7883">
              <w:rPr>
                <w:rStyle w:val="Hyperlink"/>
                <w:lang w:val="en-GB"/>
              </w:rPr>
              <w:t>Capability</w:t>
            </w:r>
            <w:r>
              <w:rPr>
                <w:webHidden/>
              </w:rPr>
              <w:tab/>
            </w:r>
            <w:r>
              <w:rPr>
                <w:webHidden/>
              </w:rPr>
              <w:fldChar w:fldCharType="begin"/>
            </w:r>
            <w:r>
              <w:rPr>
                <w:webHidden/>
              </w:rPr>
              <w:instrText xml:space="preserve"> PAGEREF _Toc221801463 \h </w:instrText>
            </w:r>
            <w:r>
              <w:rPr>
                <w:webHidden/>
              </w:rPr>
            </w:r>
            <w:r>
              <w:rPr>
                <w:webHidden/>
              </w:rPr>
              <w:fldChar w:fldCharType="separate"/>
            </w:r>
            <w:r>
              <w:rPr>
                <w:webHidden/>
              </w:rPr>
              <w:t>33</w:t>
            </w:r>
            <w:r>
              <w:rPr>
                <w:webHidden/>
              </w:rPr>
              <w:fldChar w:fldCharType="end"/>
            </w:r>
          </w:hyperlink>
        </w:p>
        <w:p w14:paraId="0D7B8D4C" w14:textId="1602FCD2"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64" w:history="1">
            <w:r w:rsidRPr="00AB7883">
              <w:rPr>
                <w:rStyle w:val="Hyperlink"/>
                <w:lang w:val="en-GB"/>
              </w:rPr>
              <w:t>Risk oversight and management</w:t>
            </w:r>
            <w:r>
              <w:rPr>
                <w:webHidden/>
              </w:rPr>
              <w:tab/>
            </w:r>
            <w:r>
              <w:rPr>
                <w:webHidden/>
              </w:rPr>
              <w:fldChar w:fldCharType="begin"/>
            </w:r>
            <w:r>
              <w:rPr>
                <w:webHidden/>
              </w:rPr>
              <w:instrText xml:space="preserve"> PAGEREF _Toc221801464 \h </w:instrText>
            </w:r>
            <w:r>
              <w:rPr>
                <w:webHidden/>
              </w:rPr>
            </w:r>
            <w:r>
              <w:rPr>
                <w:webHidden/>
              </w:rPr>
              <w:fldChar w:fldCharType="separate"/>
            </w:r>
            <w:r>
              <w:rPr>
                <w:webHidden/>
              </w:rPr>
              <w:t>36</w:t>
            </w:r>
            <w:r>
              <w:rPr>
                <w:webHidden/>
              </w:rPr>
              <w:fldChar w:fldCharType="end"/>
            </w:r>
          </w:hyperlink>
        </w:p>
        <w:p w14:paraId="57E84D76" w14:textId="0C292747" w:rsidR="00016CA7" w:rsidRDefault="00016CA7">
          <w:pPr>
            <w:pStyle w:val="TOC2"/>
            <w:rPr>
              <w:rFonts w:asciiTheme="minorHAnsi" w:eastAsiaTheme="minorEastAsia" w:hAnsiTheme="minorHAnsi" w:cstheme="minorBidi"/>
              <w:color w:val="auto"/>
              <w:kern w:val="2"/>
              <w:szCs w:val="24"/>
              <w:lang w:eastAsia="en-AU"/>
              <w14:ligatures w14:val="standardContextual"/>
            </w:rPr>
          </w:pPr>
          <w:hyperlink w:anchor="_Toc221801465" w:history="1">
            <w:r w:rsidRPr="00AB7883">
              <w:rPr>
                <w:rStyle w:val="Hyperlink"/>
                <w:lang w:val="en-GB"/>
              </w:rPr>
              <w:t>Performance</w:t>
            </w:r>
            <w:r>
              <w:rPr>
                <w:webHidden/>
              </w:rPr>
              <w:tab/>
            </w:r>
            <w:r>
              <w:rPr>
                <w:webHidden/>
              </w:rPr>
              <w:fldChar w:fldCharType="begin"/>
            </w:r>
            <w:r>
              <w:rPr>
                <w:webHidden/>
              </w:rPr>
              <w:instrText xml:space="preserve"> PAGEREF _Toc221801465 \h </w:instrText>
            </w:r>
            <w:r>
              <w:rPr>
                <w:webHidden/>
              </w:rPr>
            </w:r>
            <w:r>
              <w:rPr>
                <w:webHidden/>
              </w:rPr>
              <w:fldChar w:fldCharType="separate"/>
            </w:r>
            <w:r>
              <w:rPr>
                <w:webHidden/>
              </w:rPr>
              <w:t>42</w:t>
            </w:r>
            <w:r>
              <w:rPr>
                <w:webHidden/>
              </w:rPr>
              <w:fldChar w:fldCharType="end"/>
            </w:r>
          </w:hyperlink>
        </w:p>
        <w:p w14:paraId="693E3A83" w14:textId="05F09232" w:rsidR="00016CA7" w:rsidRDefault="00016CA7">
          <w:r>
            <w:rPr>
              <w:rFonts w:asciiTheme="minorHAnsi" w:hAnsiTheme="minorHAnsi" w:cstheme="minorHAnsi"/>
              <w:noProof/>
              <w:sz w:val="28"/>
              <w:szCs w:val="32"/>
            </w:rPr>
            <w:fldChar w:fldCharType="end"/>
          </w:r>
        </w:p>
      </w:sdtContent>
    </w:sdt>
    <w:p w14:paraId="5D1CD7EA" w14:textId="77777777" w:rsidR="00660305" w:rsidRDefault="00660305" w:rsidP="00F249C5">
      <w:pPr>
        <w:rPr>
          <w:highlight w:val="yellow"/>
        </w:rPr>
      </w:pPr>
    </w:p>
    <w:p w14:paraId="19703301" w14:textId="48636A93" w:rsidR="002209C8" w:rsidRDefault="002209C8" w:rsidP="00122655">
      <w:pPr>
        <w:pStyle w:val="Heading1"/>
        <w:rPr>
          <w:lang w:val="en-GB"/>
        </w:rPr>
      </w:pPr>
      <w:bookmarkStart w:id="32" w:name="_Toc221793662"/>
      <w:bookmarkStart w:id="33" w:name="_Toc221793682"/>
      <w:bookmarkStart w:id="34" w:name="_Toc221801452"/>
      <w:bookmarkEnd w:id="10"/>
      <w:r w:rsidRPr="00122655">
        <w:lastRenderedPageBreak/>
        <w:t>Commissioner’s</w:t>
      </w:r>
      <w:r w:rsidRPr="002209C8">
        <w:rPr>
          <w:lang w:val="en-GB"/>
        </w:rPr>
        <w:t xml:space="preserve"> foreword</w:t>
      </w:r>
      <w:bookmarkEnd w:id="32"/>
      <w:bookmarkEnd w:id="33"/>
      <w:bookmarkEnd w:id="34"/>
    </w:p>
    <w:p w14:paraId="4D63F247" w14:textId="77777777" w:rsidR="00592DDA" w:rsidRDefault="00F2109F" w:rsidP="00592DDA">
      <w:pPr>
        <w:keepNext/>
      </w:pPr>
      <w:r>
        <w:rPr>
          <w:noProof/>
          <w:lang w:val="en-GB"/>
        </w:rPr>
        <w:drawing>
          <wp:inline distT="0" distB="0" distL="0" distR="0" wp14:anchorId="633753D1" wp14:editId="3BF6B94B">
            <wp:extent cx="2024288" cy="2700000"/>
            <wp:effectExtent l="0" t="0" r="0" b="5715"/>
            <wp:docPr id="1196780009" name="Picture 1" descr="Photo of Commissioner Brer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80009" name="Picture 1" descr="Photo of Commissioner Breret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4288" cy="2700000"/>
                    </a:xfrm>
                    <a:prstGeom prst="rect">
                      <a:avLst/>
                    </a:prstGeom>
                  </pic:spPr>
                </pic:pic>
              </a:graphicData>
            </a:graphic>
          </wp:inline>
        </w:drawing>
      </w:r>
    </w:p>
    <w:p w14:paraId="3960542F" w14:textId="6B925DD5" w:rsidR="003E7561" w:rsidRDefault="003E7561" w:rsidP="00592DDA">
      <w:pPr>
        <w:keepNext/>
      </w:pPr>
      <w:r w:rsidRPr="003E7561">
        <w:rPr>
          <w:b/>
          <w:bCs/>
        </w:rPr>
        <w:t>The Hon Paul Brereton AM RFD SC</w:t>
      </w:r>
      <w:r>
        <w:br/>
        <w:t>National Anti-Corruption Commissioner</w:t>
      </w:r>
    </w:p>
    <w:p w14:paraId="57E957DB" w14:textId="0A323DCC" w:rsidR="00F2109F" w:rsidRPr="00434A7D" w:rsidRDefault="003E7561" w:rsidP="00434A7D">
      <w:pPr>
        <w:rPr>
          <w:color w:val="1B598C" w:themeColor="text1"/>
          <w:lang w:val="en-GB"/>
        </w:rPr>
      </w:pPr>
      <w:r w:rsidRPr="00434A7D">
        <w:rPr>
          <w:color w:val="1B598C" w:themeColor="text1"/>
          <w:lang w:val="en-GB"/>
        </w:rPr>
        <w:t>The National Anti‑Corruption Commission’s Corporate Plan for 2025–29 describes the organisation’s outlook and strategic direction for the next</w:t>
      </w:r>
      <w:r w:rsidR="00AB7525">
        <w:rPr>
          <w:color w:val="1B598C" w:themeColor="text1"/>
          <w:lang w:val="en-GB"/>
        </w:rPr>
        <w:t xml:space="preserve"> </w:t>
      </w:r>
      <w:r w:rsidRPr="00434A7D">
        <w:rPr>
          <w:color w:val="1B598C" w:themeColor="text1"/>
          <w:lang w:val="en-GB"/>
        </w:rPr>
        <w:t>4 years.</w:t>
      </w:r>
    </w:p>
    <w:p w14:paraId="333BFB8D" w14:textId="0E65DFC7" w:rsidR="001243F5" w:rsidRPr="001243F5" w:rsidRDefault="001243F5" w:rsidP="001243F5">
      <w:pPr>
        <w:rPr>
          <w:lang w:val="en-GB"/>
        </w:rPr>
      </w:pPr>
      <w:r w:rsidRPr="001243F5">
        <w:rPr>
          <w:lang w:val="en-GB"/>
        </w:rPr>
        <w:t>The Commission was established to provide independent assurance to the Australian community that corrupt conduct involving Commonwealth public officials is prevented, detected, investigated, and responded to appropriately.</w:t>
      </w:r>
    </w:p>
    <w:p w14:paraId="4FF32939" w14:textId="029E8C8B" w:rsidR="003E7561" w:rsidRPr="003E7561" w:rsidRDefault="001243F5" w:rsidP="001243F5">
      <w:pPr>
        <w:rPr>
          <w:lang w:val="en-GB"/>
        </w:rPr>
      </w:pPr>
      <w:r w:rsidRPr="001243F5">
        <w:rPr>
          <w:lang w:val="en-GB"/>
        </w:rPr>
        <w:t>Our mission is to enhance integrity in the Commonwealth public sector by deterring, detecting and preventing corrupt conduct involving Commonwealth public officials, through education, monitoring, investigation, reporting and referral.</w:t>
      </w:r>
    </w:p>
    <w:p w14:paraId="60231A56" w14:textId="385BCF36" w:rsidR="001243F5" w:rsidRPr="001243F5" w:rsidRDefault="001243F5" w:rsidP="001243F5">
      <w:pPr>
        <w:rPr>
          <w:noProof/>
          <w:lang w:val="en-GB"/>
        </w:rPr>
      </w:pPr>
      <w:r w:rsidRPr="001243F5">
        <w:rPr>
          <w:noProof/>
          <w:lang w:val="en-GB"/>
        </w:rPr>
        <w:t xml:space="preserve">Integrity in the Commonwealth public sector is critical to ensuring that public power is exercised honestly, impartially and in the public interest. It </w:t>
      </w:r>
      <w:r w:rsidR="008C37D2" w:rsidRPr="001243F5">
        <w:rPr>
          <w:b/>
          <w:bCs/>
          <w:noProof/>
          <w:lang w:val="en-GB"/>
        </w:rPr>
        <w:drawing>
          <wp:anchor distT="0" distB="0" distL="114300" distR="114300" simplePos="0" relativeHeight="251679744" behindDoc="1" locked="0" layoutInCell="1" allowOverlap="1" wp14:anchorId="68328C31" wp14:editId="0F9F6212">
            <wp:simplePos x="0" y="0"/>
            <wp:positionH relativeFrom="page">
              <wp:align>left</wp:align>
            </wp:positionH>
            <wp:positionV relativeFrom="page">
              <wp:align>top</wp:align>
            </wp:positionV>
            <wp:extent cx="127000" cy="10667073"/>
            <wp:effectExtent l="0" t="0" r="6350" b="1270"/>
            <wp:wrapNone/>
            <wp:docPr id="1861031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0980"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27000" cy="10667073"/>
                    </a:xfrm>
                    <a:prstGeom prst="rect">
                      <a:avLst/>
                    </a:prstGeom>
                  </pic:spPr>
                </pic:pic>
              </a:graphicData>
            </a:graphic>
            <wp14:sizeRelH relativeFrom="margin">
              <wp14:pctWidth>0</wp14:pctWidth>
            </wp14:sizeRelH>
            <wp14:sizeRelV relativeFrom="margin">
              <wp14:pctHeight>0</wp14:pctHeight>
            </wp14:sizeRelV>
          </wp:anchor>
        </w:drawing>
      </w:r>
      <w:r w:rsidRPr="001243F5">
        <w:rPr>
          <w:noProof/>
          <w:lang w:val="en-GB"/>
        </w:rPr>
        <w:t>is also essential to ensuring that programs that are intended to deliver benefits to the people do so, and are not eroded by the diversion of resources along the way for improper purposes.</w:t>
      </w:r>
    </w:p>
    <w:p w14:paraId="01794B54" w14:textId="4E21F0D6" w:rsidR="003E7561" w:rsidRPr="003E7561" w:rsidRDefault="001243F5" w:rsidP="001243F5">
      <w:pPr>
        <w:rPr>
          <w:lang w:val="en-GB"/>
        </w:rPr>
      </w:pPr>
      <w:r w:rsidRPr="001243F5">
        <w:rPr>
          <w:noProof/>
          <w:lang w:val="en-GB"/>
        </w:rPr>
        <w:lastRenderedPageBreak/>
        <w:t>In the 2 years since our commencement on 1 July 2023, we have had 2 main lines of operation to achieve our mission, and these will continue to be our focus:</w:t>
      </w:r>
    </w:p>
    <w:p w14:paraId="254B828D" w14:textId="2C118D05" w:rsidR="003E7561" w:rsidRPr="003E7561" w:rsidRDefault="003E7561" w:rsidP="003E7561">
      <w:pPr>
        <w:pStyle w:val="Bullet1"/>
        <w:rPr>
          <w:lang w:val="en-GB"/>
        </w:rPr>
      </w:pPr>
      <w:r w:rsidRPr="003E7561">
        <w:rPr>
          <w:i/>
          <w:iCs/>
          <w:lang w:val="en-GB"/>
        </w:rPr>
        <w:t>deterring</w:t>
      </w:r>
      <w:r w:rsidRPr="003E7561">
        <w:rPr>
          <w:lang w:val="en-GB"/>
        </w:rPr>
        <w:t xml:space="preserve"> corrupt conduct through detection, investigation and exposure</w:t>
      </w:r>
    </w:p>
    <w:p w14:paraId="5CDC1511" w14:textId="373B2458" w:rsidR="003E7561" w:rsidRPr="003E7561" w:rsidRDefault="003E7561" w:rsidP="003E7561">
      <w:pPr>
        <w:pStyle w:val="Bullet1"/>
        <w:rPr>
          <w:lang w:val="en-GB"/>
        </w:rPr>
      </w:pPr>
      <w:r w:rsidRPr="003E7561">
        <w:rPr>
          <w:i/>
          <w:iCs/>
          <w:lang w:val="en-GB"/>
        </w:rPr>
        <w:t>preventing</w:t>
      </w:r>
      <w:r w:rsidRPr="003E7561">
        <w:rPr>
          <w:lang w:val="en-GB"/>
        </w:rPr>
        <w:t xml:space="preserve"> corrupt conduct through education and engagement.</w:t>
      </w:r>
    </w:p>
    <w:p w14:paraId="02211B36" w14:textId="473AC724" w:rsidR="003E7561" w:rsidRPr="003E7561" w:rsidRDefault="001243F5" w:rsidP="001243F5">
      <w:pPr>
        <w:rPr>
          <w:lang w:val="en-GB"/>
        </w:rPr>
      </w:pPr>
      <w:r w:rsidRPr="001243F5">
        <w:rPr>
          <w:lang w:val="en-GB"/>
        </w:rPr>
        <w:t>We will continue to invest in the development and welfare of our people, which has grown to over 230 expert and committed staff, in 5 offices across the nation, including 3 which have been fitted out and occupied since we opened our doors.</w:t>
      </w:r>
    </w:p>
    <w:p w14:paraId="4B1DA34F" w14:textId="320BAD32" w:rsidR="003E7561" w:rsidRPr="001243F5" w:rsidRDefault="003E7561" w:rsidP="001243F5">
      <w:pPr>
        <w:rPr>
          <w:b/>
          <w:bCs/>
          <w:lang w:val="en-GB"/>
        </w:rPr>
      </w:pPr>
      <w:r w:rsidRPr="001243F5">
        <w:rPr>
          <w:b/>
          <w:bCs/>
          <w:lang w:val="en-GB"/>
        </w:rPr>
        <w:t>The Commission’s remit and public understanding</w:t>
      </w:r>
    </w:p>
    <w:p w14:paraId="1EA3B3D9" w14:textId="7E1A800D" w:rsidR="001243F5" w:rsidRDefault="001243F5" w:rsidP="001243F5">
      <w:pPr>
        <w:rPr>
          <w:lang w:val="en-GB"/>
        </w:rPr>
      </w:pPr>
      <w:r w:rsidRPr="001243F5">
        <w:rPr>
          <w:lang w:val="en-GB"/>
        </w:rPr>
        <w:t>The Commission is committed to improving understanding not only of outcomes achieved, so as to provide assurance that corrupt conduct is being detected and deterred, but also of our remit and processes, including building greater awareness of what we can and cannot do, how we decide what we will investigate, and why most referrals to us are not investigated.</w:t>
      </w:r>
    </w:p>
    <w:p w14:paraId="77C1D640" w14:textId="6E674C6D" w:rsidR="001243F5" w:rsidRPr="001243F5" w:rsidRDefault="001243F5" w:rsidP="001243F5">
      <w:pPr>
        <w:rPr>
          <w:lang w:val="en-GB"/>
        </w:rPr>
      </w:pPr>
      <w:r w:rsidRPr="001243F5">
        <w:rPr>
          <w:lang w:val="en-GB"/>
        </w:rPr>
        <w:t>There are multiple Commonwealth agencies which have the function of ensuring, in different ways, that public authorities exercise the powers conferred on them properly, and in sustaining confidence in the institutions of government by showing, through their existence and actions, that exercises of public power and performance of public functions are subject to independent and objective scrutiny in order to ensure that they are proper.</w:t>
      </w:r>
      <w:r>
        <w:rPr>
          <w:lang w:val="en-GB"/>
        </w:rPr>
        <w:t xml:space="preserve"> </w:t>
      </w:r>
      <w:r w:rsidRPr="001243F5">
        <w:rPr>
          <w:lang w:val="en-GB"/>
        </w:rPr>
        <w:t>These guardrail institutions include the Auditor‑General, the Commonwealth Ombudsman, the Australian Information Commissioner, the Australian Public Service Commissioner – and now, the National Anti‑Corruption Commission, the newest and youngest of them.</w:t>
      </w:r>
    </w:p>
    <w:p w14:paraId="30B5FF00" w14:textId="4F315DF8" w:rsidR="001243F5" w:rsidRPr="001243F5" w:rsidRDefault="008C37D2" w:rsidP="001243F5">
      <w:pPr>
        <w:rPr>
          <w:lang w:val="en-GB"/>
        </w:rPr>
      </w:pPr>
      <w:r w:rsidRPr="001243F5">
        <w:rPr>
          <w:b/>
          <w:bCs/>
          <w:noProof/>
          <w:lang w:val="en-GB"/>
        </w:rPr>
        <w:drawing>
          <wp:anchor distT="0" distB="0" distL="114300" distR="114300" simplePos="0" relativeHeight="251667456" behindDoc="1" locked="0" layoutInCell="1" allowOverlap="1" wp14:anchorId="53D80557" wp14:editId="0B384696">
            <wp:simplePos x="0" y="0"/>
            <wp:positionH relativeFrom="page">
              <wp:align>left</wp:align>
            </wp:positionH>
            <wp:positionV relativeFrom="page">
              <wp:align>top</wp:align>
            </wp:positionV>
            <wp:extent cx="127000" cy="10667073"/>
            <wp:effectExtent l="0" t="0" r="6350" b="1270"/>
            <wp:wrapNone/>
            <wp:docPr id="13650422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0980"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27115" cy="10676751"/>
                    </a:xfrm>
                    <a:prstGeom prst="rect">
                      <a:avLst/>
                    </a:prstGeom>
                  </pic:spPr>
                </pic:pic>
              </a:graphicData>
            </a:graphic>
            <wp14:sizeRelH relativeFrom="margin">
              <wp14:pctWidth>0</wp14:pctWidth>
            </wp14:sizeRelH>
            <wp14:sizeRelV relativeFrom="margin">
              <wp14:pctHeight>0</wp14:pctHeight>
            </wp14:sizeRelV>
          </wp:anchor>
        </w:drawing>
      </w:r>
      <w:r w:rsidR="001243F5" w:rsidRPr="001243F5">
        <w:rPr>
          <w:lang w:val="en-GB"/>
        </w:rPr>
        <w:t xml:space="preserve">The distinction of the Commission is that its jurisdiction is concerned with serious and systemic corrupt conduct in the Commonwealth public sector. Most mistakes, maladministration and misconduct do not involve corrupt </w:t>
      </w:r>
      <w:r w:rsidR="001243F5" w:rsidRPr="001243F5">
        <w:rPr>
          <w:lang w:val="en-GB"/>
        </w:rPr>
        <w:lastRenderedPageBreak/>
        <w:t>conduct and are not within the jurisdiction of the Commission. Other agencies have responsibility for oversight of administration decision making, the efficient and effective use of resources, and other aspects of the exercise of public power. The Commission is not a complaints‑handling agency nor an administrative decisions review authority.</w:t>
      </w:r>
    </w:p>
    <w:p w14:paraId="11A33DE5" w14:textId="6B7E34ED" w:rsidR="001243F5" w:rsidRPr="001243F5" w:rsidRDefault="001243F5" w:rsidP="001243F5">
      <w:pPr>
        <w:rPr>
          <w:lang w:val="en-GB"/>
        </w:rPr>
      </w:pPr>
      <w:r w:rsidRPr="001243F5">
        <w:rPr>
          <w:lang w:val="en-GB"/>
        </w:rPr>
        <w:t xml:space="preserve">However, Australians are entitled to expect that public officials perform their functions </w:t>
      </w:r>
      <w:r w:rsidRPr="001243F5">
        <w:rPr>
          <w:i/>
          <w:iCs/>
          <w:lang w:val="en-GB"/>
        </w:rPr>
        <w:t>honestly and impartially</w:t>
      </w:r>
      <w:r w:rsidRPr="001243F5">
        <w:rPr>
          <w:lang w:val="en-GB"/>
        </w:rPr>
        <w:t>, that they exercise the powers conferred on them f</w:t>
      </w:r>
      <w:r w:rsidRPr="001243F5">
        <w:rPr>
          <w:i/>
          <w:iCs/>
          <w:lang w:val="en-GB"/>
        </w:rPr>
        <w:t>or the public purposes for which those powers were conferred</w:t>
      </w:r>
      <w:r w:rsidRPr="001243F5">
        <w:rPr>
          <w:lang w:val="en-GB"/>
        </w:rPr>
        <w:t xml:space="preserve">, and for no other purpose; and that they </w:t>
      </w:r>
      <w:proofErr w:type="gramStart"/>
      <w:r w:rsidRPr="001243F5">
        <w:rPr>
          <w:i/>
          <w:iCs/>
          <w:lang w:val="en-GB"/>
        </w:rPr>
        <w:t>not use</w:t>
      </w:r>
      <w:proofErr w:type="gramEnd"/>
      <w:r w:rsidRPr="001243F5">
        <w:rPr>
          <w:i/>
          <w:iCs/>
          <w:lang w:val="en-GB"/>
        </w:rPr>
        <w:t xml:space="preserve"> their public position for private advantage</w:t>
      </w:r>
      <w:r w:rsidRPr="001243F5">
        <w:rPr>
          <w:lang w:val="en-GB"/>
        </w:rPr>
        <w:t>. These are the core values with which the Commission is concerned: to provide assurance to the people that public power, position and privilege is exercised in the public interest and not for private or other improper purposes or benefit.</w:t>
      </w:r>
    </w:p>
    <w:p w14:paraId="36E390F7" w14:textId="0A7088ED" w:rsidR="003E7561" w:rsidRPr="003E7561" w:rsidRDefault="001243F5" w:rsidP="001243F5">
      <w:pPr>
        <w:rPr>
          <w:lang w:val="en-GB"/>
        </w:rPr>
      </w:pPr>
      <w:r w:rsidRPr="001243F5">
        <w:rPr>
          <w:lang w:val="en-GB"/>
        </w:rPr>
        <w:t>Anyone can refer a question of whether there has been corrupt conduct involving a public official to us. That does not mean that we will investigate every matter that is referred to us. In deciding whether and if so how to deal with a referral, the Commission considers the seriousness and scale of the conduct described, whether there is a realistic prospect of finding corrupt conduct, whether there have been other investigations of it, whether it is preferable that another agency investigate it, and whether and to what extent a corruption investigation by the Commission is likely to add value in the public interest.</w:t>
      </w:r>
    </w:p>
    <w:p w14:paraId="533D2DDE" w14:textId="7BADA21E" w:rsidR="003E7561" w:rsidRPr="001243F5" w:rsidRDefault="003E7561" w:rsidP="001243F5">
      <w:pPr>
        <w:rPr>
          <w:b/>
          <w:bCs/>
          <w:lang w:val="en-GB"/>
        </w:rPr>
      </w:pPr>
      <w:r w:rsidRPr="001243F5">
        <w:rPr>
          <w:b/>
          <w:bCs/>
          <w:lang w:val="en-GB"/>
        </w:rPr>
        <w:t>Detecting, investigating and exposing corrupt conduct</w:t>
      </w:r>
    </w:p>
    <w:p w14:paraId="32297D01" w14:textId="4728E4DA" w:rsidR="001243F5" w:rsidRPr="001243F5" w:rsidRDefault="001243F5" w:rsidP="00317C60">
      <w:pPr>
        <w:rPr>
          <w:lang w:val="en-GB"/>
        </w:rPr>
      </w:pPr>
      <w:r w:rsidRPr="001243F5">
        <w:rPr>
          <w:lang w:val="en-GB"/>
        </w:rPr>
        <w:t>Our main effort will remain detection, investigation and exposure of corrupt conduct.</w:t>
      </w:r>
    </w:p>
    <w:p w14:paraId="559ED382" w14:textId="66AF0959" w:rsidR="001243F5" w:rsidRPr="001243F5" w:rsidRDefault="001243F5" w:rsidP="00317C60">
      <w:pPr>
        <w:rPr>
          <w:lang w:val="en-GB"/>
        </w:rPr>
      </w:pPr>
      <w:r w:rsidRPr="001243F5">
        <w:rPr>
          <w:lang w:val="en-GB"/>
        </w:rPr>
        <w:t xml:space="preserve">Our 6 strategic corruption priorities remain corruption in senior executive decision‑making, corruption involving contractors and consultants, </w:t>
      </w:r>
      <w:r w:rsidR="008C37D2" w:rsidRPr="001243F5">
        <w:rPr>
          <w:b/>
          <w:bCs/>
          <w:noProof/>
          <w:lang w:val="en-GB"/>
        </w:rPr>
        <w:drawing>
          <wp:anchor distT="0" distB="0" distL="114300" distR="114300" simplePos="0" relativeHeight="251681792" behindDoc="1" locked="0" layoutInCell="1" allowOverlap="1" wp14:anchorId="48ABAF94" wp14:editId="6C7B4916">
            <wp:simplePos x="0" y="0"/>
            <wp:positionH relativeFrom="page">
              <wp:posOffset>0</wp:posOffset>
            </wp:positionH>
            <wp:positionV relativeFrom="page">
              <wp:posOffset>6350</wp:posOffset>
            </wp:positionV>
            <wp:extent cx="127000" cy="10667073"/>
            <wp:effectExtent l="0" t="0" r="6350" b="1270"/>
            <wp:wrapNone/>
            <wp:docPr id="9917705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0980"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27000" cy="10667073"/>
                    </a:xfrm>
                    <a:prstGeom prst="rect">
                      <a:avLst/>
                    </a:prstGeom>
                  </pic:spPr>
                </pic:pic>
              </a:graphicData>
            </a:graphic>
            <wp14:sizeRelH relativeFrom="margin">
              <wp14:pctWidth>0</wp14:pctWidth>
            </wp14:sizeRelH>
            <wp14:sizeRelV relativeFrom="margin">
              <wp14:pctHeight>0</wp14:pctHeight>
            </wp14:sizeRelV>
          </wp:anchor>
        </w:drawing>
      </w:r>
      <w:r w:rsidRPr="001243F5">
        <w:rPr>
          <w:lang w:val="en-GB"/>
        </w:rPr>
        <w:t xml:space="preserve">corruption affecting vulnerable people, corruption affecting the environment, corruption at the border, and corruption in complex </w:t>
      </w:r>
      <w:r w:rsidRPr="001243F5">
        <w:rPr>
          <w:lang w:val="en-GB"/>
        </w:rPr>
        <w:lastRenderedPageBreak/>
        <w:t>procurement. But while it is in these areas that we believe that we can generally best add value, they are not exclusive.</w:t>
      </w:r>
    </w:p>
    <w:p w14:paraId="53CDE626" w14:textId="7FCDB265" w:rsidR="001243F5" w:rsidRPr="001243F5" w:rsidRDefault="001243F5" w:rsidP="00317C60">
      <w:pPr>
        <w:rPr>
          <w:lang w:val="en-GB"/>
        </w:rPr>
      </w:pPr>
      <w:r w:rsidRPr="001243F5">
        <w:rPr>
          <w:lang w:val="en-GB"/>
        </w:rPr>
        <w:t>The Commission is conscious that some have called for greater speed in delivering outcomes and greater publicity of our investigations. The detection, investigation and exposure of corrupt conduct is necessarily challenging. Corruption is generally conducted in secret, often involving complex pathways of deception and deceit. Finding, testing, challenging and unravelling these pathways takes time. Getting the right and fair outcome also takes time.</w:t>
      </w:r>
    </w:p>
    <w:p w14:paraId="56387027" w14:textId="54389159" w:rsidR="001243F5" w:rsidRPr="001243F5" w:rsidRDefault="001243F5" w:rsidP="00317C60">
      <w:pPr>
        <w:rPr>
          <w:lang w:val="en-GB"/>
        </w:rPr>
      </w:pPr>
      <w:r w:rsidRPr="001243F5">
        <w:rPr>
          <w:lang w:val="en-GB"/>
        </w:rPr>
        <w:t xml:space="preserve">Firstly, it usually takes some time to decide whether the Commission should investigate a referral, because this is a significant decision as to how we will allocate our resources. Secondly, commencing an investigation is a significant decision for the Commission given our limited resources. Many of the Commission’s powers appropriately require warrants and notices to produce to be obtained and this too takes time. Often the result of those warrants or notices to produce is the acquisition of very large volumes of information that require significant time and resources to analyse and decipher. Sometimes, questions of legal professional privilege or parliamentary privilege </w:t>
      </w:r>
      <w:proofErr w:type="gramStart"/>
      <w:r w:rsidRPr="001243F5">
        <w:rPr>
          <w:lang w:val="en-GB"/>
        </w:rPr>
        <w:t>have to</w:t>
      </w:r>
      <w:proofErr w:type="gramEnd"/>
      <w:r w:rsidRPr="001243F5">
        <w:rPr>
          <w:lang w:val="en-GB"/>
        </w:rPr>
        <w:t xml:space="preserve"> be resolved before documents can be made available to investigators. Drafting reports, including fair and careful consideration of whether to make a finding of corrupt conduct and any corruption prevention observations and recommendations is an exacting process. Time is also required to arrange and conduct the hearings that may follow. Procedural fairness to affected persons protracts this. This is similar for other anti‑corruption commissions around the country, and the Commission's performance measure remains finalising 60% of investigations within 2 years.</w:t>
      </w:r>
    </w:p>
    <w:p w14:paraId="5D6A0404" w14:textId="31B652C0" w:rsidR="001243F5" w:rsidRDefault="001243F5" w:rsidP="00317C60">
      <w:pPr>
        <w:rPr>
          <w:lang w:val="en-GB"/>
        </w:rPr>
      </w:pPr>
      <w:r w:rsidRPr="001243F5">
        <w:rPr>
          <w:lang w:val="en-GB"/>
        </w:rPr>
        <w:t xml:space="preserve">The legislation that governs the Commission provides that only in exceptional circumstances will the Commission conduct public hearings. </w:t>
      </w:r>
      <w:r w:rsidR="008C37D2" w:rsidRPr="001243F5">
        <w:rPr>
          <w:b/>
          <w:bCs/>
          <w:noProof/>
          <w:lang w:val="en-GB"/>
        </w:rPr>
        <w:drawing>
          <wp:anchor distT="0" distB="0" distL="114300" distR="114300" simplePos="0" relativeHeight="251683840" behindDoc="1" locked="0" layoutInCell="1" allowOverlap="1" wp14:anchorId="52F06199" wp14:editId="56141FCD">
            <wp:simplePos x="0" y="0"/>
            <wp:positionH relativeFrom="page">
              <wp:posOffset>6350</wp:posOffset>
            </wp:positionH>
            <wp:positionV relativeFrom="page">
              <wp:align>top</wp:align>
            </wp:positionV>
            <wp:extent cx="127000" cy="10667073"/>
            <wp:effectExtent l="0" t="0" r="6350" b="1270"/>
            <wp:wrapNone/>
            <wp:docPr id="78898451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0980"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27000" cy="10667073"/>
                    </a:xfrm>
                    <a:prstGeom prst="rect">
                      <a:avLst/>
                    </a:prstGeom>
                  </pic:spPr>
                </pic:pic>
              </a:graphicData>
            </a:graphic>
            <wp14:sizeRelH relativeFrom="margin">
              <wp14:pctWidth>0</wp14:pctWidth>
            </wp14:sizeRelH>
            <wp14:sizeRelV relativeFrom="margin">
              <wp14:pctHeight>0</wp14:pctHeight>
            </wp14:sizeRelV>
          </wp:anchor>
        </w:drawing>
      </w:r>
      <w:r w:rsidRPr="001243F5">
        <w:rPr>
          <w:lang w:val="en-GB"/>
        </w:rPr>
        <w:t xml:space="preserve">This is chiefly to avoid the risk of unfair and premature damage to reputations that can be caused when unproven allegations of corruption are publicised, and to avoid compromising the efficacy and fairness of </w:t>
      </w:r>
      <w:r w:rsidRPr="001243F5">
        <w:rPr>
          <w:lang w:val="en-GB"/>
        </w:rPr>
        <w:lastRenderedPageBreak/>
        <w:t xml:space="preserve">investigations that might be compromised if people know they are under investigation. In addition, it is our experience that witnesses are usually more willing to be open and frank in a private setting. We also </w:t>
      </w:r>
      <w:proofErr w:type="gramStart"/>
      <w:r w:rsidRPr="001243F5">
        <w:rPr>
          <w:lang w:val="en-GB"/>
        </w:rPr>
        <w:t>have to</w:t>
      </w:r>
      <w:proofErr w:type="gramEnd"/>
      <w:r w:rsidRPr="001243F5">
        <w:rPr>
          <w:lang w:val="en-GB"/>
        </w:rPr>
        <w:t xml:space="preserve"> be conscious of the impact of our investigations on individuals with whom we interact.</w:t>
      </w:r>
    </w:p>
    <w:p w14:paraId="6492D636" w14:textId="157EABE8" w:rsidR="003E7561" w:rsidRPr="008C37D2" w:rsidRDefault="003E7561" w:rsidP="008C37D2">
      <w:pPr>
        <w:rPr>
          <w:b/>
          <w:bCs/>
          <w:lang w:val="en-GB"/>
        </w:rPr>
      </w:pPr>
      <w:r w:rsidRPr="008C37D2">
        <w:rPr>
          <w:b/>
          <w:bCs/>
          <w:lang w:val="en-GB"/>
        </w:rPr>
        <w:t>Education and engagement</w:t>
      </w:r>
    </w:p>
    <w:p w14:paraId="47F4BF7E" w14:textId="5674437D" w:rsidR="008C37D2" w:rsidRPr="008C37D2" w:rsidRDefault="008C37D2" w:rsidP="008C37D2">
      <w:pPr>
        <w:rPr>
          <w:lang w:val="en-GB"/>
        </w:rPr>
      </w:pPr>
      <w:r w:rsidRPr="008C37D2">
        <w:rPr>
          <w:lang w:val="en-GB"/>
        </w:rPr>
        <w:t>Two years is a very short time in the life of a national institution, and enhancing integrity across the Commonwealth public sector is a long‑term endeavour. Integrity is not a permanent state one can expect to reach. Integrity is a practice, supported by education, frameworks and systems, that one continually seeks to enact.</w:t>
      </w:r>
    </w:p>
    <w:p w14:paraId="16DC3D0B" w14:textId="3A238860" w:rsidR="008C37D2" w:rsidRPr="008C37D2" w:rsidRDefault="008C37D2" w:rsidP="008C37D2">
      <w:pPr>
        <w:rPr>
          <w:lang w:val="en-GB"/>
        </w:rPr>
      </w:pPr>
      <w:r w:rsidRPr="008C37D2">
        <w:rPr>
          <w:lang w:val="en-GB"/>
        </w:rPr>
        <w:t xml:space="preserve">The existence and work of the Commission to date </w:t>
      </w:r>
      <w:proofErr w:type="gramStart"/>
      <w:r w:rsidRPr="008C37D2">
        <w:rPr>
          <w:lang w:val="en-GB"/>
        </w:rPr>
        <w:t>has</w:t>
      </w:r>
      <w:proofErr w:type="gramEnd"/>
      <w:r w:rsidRPr="008C37D2">
        <w:rPr>
          <w:lang w:val="en-GB"/>
        </w:rPr>
        <w:t xml:space="preserve"> laid a strong foundation for the enduring enhancement of integrity. One manifestation of this is that in the 2 years since our inception, integrity has been at the forefront of discourse throughout the Commonwealth public sector. </w:t>
      </w:r>
      <w:proofErr w:type="gramStart"/>
      <w:r w:rsidRPr="008C37D2">
        <w:rPr>
          <w:lang w:val="en-GB"/>
        </w:rPr>
        <w:t>Never before</w:t>
      </w:r>
      <w:proofErr w:type="gramEnd"/>
      <w:r w:rsidRPr="008C37D2">
        <w:rPr>
          <w:lang w:val="en-GB"/>
        </w:rPr>
        <w:t xml:space="preserve"> has there been such a focus on integrity: everyone is talking about it; and most are conscious of our existence and remit. While this is by no means attributable only to the Commission, the establishment, existence and educational activities of the Commission have contributed </w:t>
      </w:r>
      <w:proofErr w:type="gramStart"/>
      <w:r w:rsidRPr="008C37D2">
        <w:rPr>
          <w:lang w:val="en-GB"/>
        </w:rPr>
        <w:t>in</w:t>
      </w:r>
      <w:proofErr w:type="gramEnd"/>
      <w:r w:rsidRPr="008C37D2">
        <w:rPr>
          <w:lang w:val="en-GB"/>
        </w:rPr>
        <w:t xml:space="preserve"> a substantial measure.</w:t>
      </w:r>
    </w:p>
    <w:p w14:paraId="02D82503" w14:textId="745540D2" w:rsidR="008C37D2" w:rsidRPr="008C37D2" w:rsidRDefault="008C37D2" w:rsidP="008C37D2">
      <w:pPr>
        <w:rPr>
          <w:lang w:val="en-GB"/>
        </w:rPr>
      </w:pPr>
      <w:r w:rsidRPr="008C37D2">
        <w:rPr>
          <w:lang w:val="en-GB"/>
        </w:rPr>
        <w:t>As I stated at the opening of the Commission, we cannot achieve our mission alone. Over the last 2 years we have established strong relationships with our state and territory counterparts, and other Commonwealth integrity agencies. From these we, as a young agency, gain significant benefits through the exchange of knowledge and best practices.</w:t>
      </w:r>
    </w:p>
    <w:p w14:paraId="65F072C3" w14:textId="553D9626" w:rsidR="003E7561" w:rsidRPr="003E7561" w:rsidRDefault="008C37D2" w:rsidP="008C37D2">
      <w:pPr>
        <w:rPr>
          <w:lang w:val="en-GB"/>
        </w:rPr>
      </w:pPr>
      <w:r w:rsidRPr="008C37D2">
        <w:rPr>
          <w:lang w:val="en-GB"/>
        </w:rPr>
        <w:t xml:space="preserve">While prevention work is often overshadowed by detection and investigation, education is the key to cementing system‑wide integrity </w:t>
      </w:r>
      <w:r w:rsidRPr="001243F5">
        <w:rPr>
          <w:b/>
          <w:bCs/>
          <w:noProof/>
          <w:lang w:val="en-GB"/>
        </w:rPr>
        <w:drawing>
          <wp:anchor distT="0" distB="0" distL="114300" distR="114300" simplePos="0" relativeHeight="251685888" behindDoc="1" locked="0" layoutInCell="1" allowOverlap="1" wp14:anchorId="07951E35" wp14:editId="4D28FFCF">
            <wp:simplePos x="0" y="0"/>
            <wp:positionH relativeFrom="page">
              <wp:align>left</wp:align>
            </wp:positionH>
            <wp:positionV relativeFrom="page">
              <wp:align>top</wp:align>
            </wp:positionV>
            <wp:extent cx="127000" cy="10667073"/>
            <wp:effectExtent l="0" t="0" r="6350" b="1270"/>
            <wp:wrapNone/>
            <wp:docPr id="5868982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0980"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27000" cy="10667073"/>
                    </a:xfrm>
                    <a:prstGeom prst="rect">
                      <a:avLst/>
                    </a:prstGeom>
                  </pic:spPr>
                </pic:pic>
              </a:graphicData>
            </a:graphic>
            <wp14:sizeRelH relativeFrom="margin">
              <wp14:pctWidth>0</wp14:pctWidth>
            </wp14:sizeRelH>
            <wp14:sizeRelV relativeFrom="margin">
              <wp14:pctHeight>0</wp14:pctHeight>
            </wp14:sizeRelV>
          </wp:anchor>
        </w:drawing>
      </w:r>
      <w:r w:rsidRPr="008C37D2">
        <w:rPr>
          <w:lang w:val="en-GB"/>
        </w:rPr>
        <w:t xml:space="preserve">awareness and hardening our institutions against key corruption risks and </w:t>
      </w:r>
      <w:r w:rsidR="00434A7D" w:rsidRPr="001243F5">
        <w:rPr>
          <w:b/>
          <w:bCs/>
          <w:noProof/>
          <w:lang w:val="en-GB"/>
        </w:rPr>
        <w:drawing>
          <wp:anchor distT="0" distB="0" distL="114300" distR="114300" simplePos="0" relativeHeight="251687936" behindDoc="1" locked="0" layoutInCell="1" allowOverlap="1" wp14:anchorId="13FBC59B" wp14:editId="36B61628">
            <wp:simplePos x="0" y="0"/>
            <wp:positionH relativeFrom="page">
              <wp:align>left</wp:align>
            </wp:positionH>
            <wp:positionV relativeFrom="page">
              <wp:align>top</wp:align>
            </wp:positionV>
            <wp:extent cx="127000" cy="10667073"/>
            <wp:effectExtent l="0" t="0" r="6350" b="1270"/>
            <wp:wrapNone/>
            <wp:docPr id="5866244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0980"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27000" cy="10667073"/>
                    </a:xfrm>
                    <a:prstGeom prst="rect">
                      <a:avLst/>
                    </a:prstGeom>
                  </pic:spPr>
                </pic:pic>
              </a:graphicData>
            </a:graphic>
            <wp14:sizeRelH relativeFrom="margin">
              <wp14:pctWidth>0</wp14:pctWidth>
            </wp14:sizeRelH>
            <wp14:sizeRelV relativeFrom="margin">
              <wp14:pctHeight>0</wp14:pctHeight>
            </wp14:sizeRelV>
          </wp:anchor>
        </w:drawing>
      </w:r>
      <w:r w:rsidRPr="008C37D2">
        <w:rPr>
          <w:lang w:val="en-GB"/>
        </w:rPr>
        <w:t xml:space="preserve">vulnerabilities. The Commission will continue to conduct targeted corruption prevention engagement and education, focussed on our </w:t>
      </w:r>
      <w:r w:rsidRPr="008C37D2">
        <w:rPr>
          <w:lang w:val="en-GB"/>
        </w:rPr>
        <w:lastRenderedPageBreak/>
        <w:t>jurisdictional agencies, on contractors and consultants, and on the public, to build resistance to corrupt conduct, to encourage people to report it, and to create a culture in which corruption is not tolerated.</w:t>
      </w:r>
    </w:p>
    <w:p w14:paraId="546FA297" w14:textId="78323741" w:rsidR="003E7561" w:rsidRPr="008C37D2" w:rsidRDefault="008C37D2" w:rsidP="008C37D2">
      <w:pPr>
        <w:rPr>
          <w:b/>
          <w:bCs/>
          <w:lang w:val="en-GB"/>
        </w:rPr>
      </w:pPr>
      <w:r w:rsidRPr="008C37D2">
        <w:rPr>
          <w:b/>
          <w:bCs/>
          <w:lang w:val="en-GB"/>
        </w:rPr>
        <w:t>Looking</w:t>
      </w:r>
      <w:r w:rsidR="003E7561" w:rsidRPr="008C37D2">
        <w:rPr>
          <w:b/>
          <w:bCs/>
          <w:lang w:val="en-GB"/>
        </w:rPr>
        <w:t xml:space="preserve"> ahead</w:t>
      </w:r>
    </w:p>
    <w:p w14:paraId="26F0353F" w14:textId="4ADB2C41" w:rsidR="00F2109F" w:rsidRPr="00F2109F" w:rsidRDefault="008C37D2" w:rsidP="008C37D2">
      <w:pPr>
        <w:rPr>
          <w:lang w:val="en-GB"/>
        </w:rPr>
      </w:pPr>
      <w:r w:rsidRPr="008C37D2">
        <w:rPr>
          <w:lang w:val="en-GB"/>
        </w:rPr>
        <w:t xml:space="preserve">As the Commission enters its next phase, complex investigations will reach completion and the Commission’s operational achievements will gradually become more visible. Inevitably, much of our investigation work will lead to findings that a corruption issue is not sustained, and that does not matter – corruption in the Commonwealth public sector is very much the exception and not the norm, and our ability to dispel suggestions that there has been corrupt conduct is as important as exposing it where it exists. However, some of that work, protracted and painstaking as it is, will result in the exposure of serious and systemic corrupt conduct. Both outcomes serve, in slightly different ways, to enhance integrity and sustain confidence in the institutions of government, by showing that exercises of public power and performance of public functions are subject to independent and objective scrutiny, </w:t>
      </w:r>
      <w:proofErr w:type="gramStart"/>
      <w:r w:rsidRPr="008C37D2">
        <w:rPr>
          <w:lang w:val="en-GB"/>
        </w:rPr>
        <w:t>in order to</w:t>
      </w:r>
      <w:proofErr w:type="gramEnd"/>
      <w:r w:rsidRPr="008C37D2">
        <w:rPr>
          <w:lang w:val="en-GB"/>
        </w:rPr>
        <w:t xml:space="preserve"> ensure that they are proper.</w:t>
      </w:r>
    </w:p>
    <w:p w14:paraId="0ED47731" w14:textId="0A4BEF15" w:rsidR="00C51524" w:rsidRPr="002209C8" w:rsidRDefault="00C51524" w:rsidP="008C37D2">
      <w:pPr>
        <w:rPr>
          <w:lang w:val="en-GB"/>
        </w:rPr>
      </w:pPr>
      <w:r>
        <w:rPr>
          <w:noProof/>
          <w:lang w:val="en-GB"/>
        </w:rPr>
        <w:drawing>
          <wp:inline distT="0" distB="0" distL="0" distR="0" wp14:anchorId="1F969EA0" wp14:editId="62AC9A7D">
            <wp:extent cx="2175860" cy="723900"/>
            <wp:effectExtent l="0" t="0" r="0" b="0"/>
            <wp:docPr id="709177806" name="Picture 1" descr="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77806" name="Picture 1" descr="A signa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3575" cy="726467"/>
                    </a:xfrm>
                    <a:prstGeom prst="rect">
                      <a:avLst/>
                    </a:prstGeom>
                  </pic:spPr>
                </pic:pic>
              </a:graphicData>
            </a:graphic>
          </wp:inline>
        </w:drawing>
      </w:r>
    </w:p>
    <w:p w14:paraId="556B5545" w14:textId="063024CD" w:rsidR="002209C8" w:rsidRPr="002209C8" w:rsidRDefault="00D03DDD" w:rsidP="002209C8">
      <w:pPr>
        <w:rPr>
          <w:lang w:val="en-GB"/>
        </w:rPr>
      </w:pPr>
      <w:r w:rsidRPr="00D03DDD">
        <w:rPr>
          <w:b/>
          <w:bCs/>
          <w:lang w:val="en-GB"/>
        </w:rPr>
        <w:t>The Hon</w:t>
      </w:r>
      <w:r w:rsidR="00C87A22">
        <w:rPr>
          <w:b/>
          <w:bCs/>
          <w:lang w:val="en-GB"/>
        </w:rPr>
        <w:t xml:space="preserve"> Paul</w:t>
      </w:r>
      <w:r w:rsidRPr="00D03DDD">
        <w:rPr>
          <w:b/>
          <w:bCs/>
          <w:lang w:val="en-GB"/>
        </w:rPr>
        <w:t xml:space="preserve"> Brereton AM RFD SC</w:t>
      </w:r>
      <w:r w:rsidR="002209C8" w:rsidRPr="002209C8">
        <w:rPr>
          <w:lang w:val="en-GB"/>
        </w:rPr>
        <w:br/>
        <w:t>National Anti-Corruption Commissioner</w:t>
      </w:r>
    </w:p>
    <w:p w14:paraId="11B309D1" w14:textId="7DE4E0CE" w:rsidR="002209C8" w:rsidRDefault="008C37D2" w:rsidP="00122655">
      <w:pPr>
        <w:pStyle w:val="Heading1"/>
        <w:rPr>
          <w:lang w:val="en-GB"/>
        </w:rPr>
      </w:pPr>
      <w:bookmarkStart w:id="35" w:name="_Toc221793663"/>
      <w:bookmarkStart w:id="36" w:name="_Toc221793683"/>
      <w:bookmarkStart w:id="37" w:name="_Toc221801453"/>
      <w:r>
        <w:rPr>
          <w:noProof/>
          <w:lang w:val="en-GB"/>
        </w:rPr>
        <w:lastRenderedPageBreak/>
        <w:drawing>
          <wp:anchor distT="0" distB="0" distL="114300" distR="114300" simplePos="0" relativeHeight="251675648" behindDoc="1" locked="0" layoutInCell="1" allowOverlap="1" wp14:anchorId="38028DAA" wp14:editId="160CA364">
            <wp:simplePos x="0" y="0"/>
            <wp:positionH relativeFrom="page">
              <wp:align>right</wp:align>
            </wp:positionH>
            <wp:positionV relativeFrom="page">
              <wp:posOffset>-3683354</wp:posOffset>
            </wp:positionV>
            <wp:extent cx="160980" cy="7545946"/>
            <wp:effectExtent l="0" t="15875" r="0" b="0"/>
            <wp:wrapNone/>
            <wp:docPr id="5559406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0980"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rot="5400000">
                      <a:off x="0" y="0"/>
                      <a:ext cx="160980" cy="7545946"/>
                    </a:xfrm>
                    <a:prstGeom prst="rect">
                      <a:avLst/>
                    </a:prstGeom>
                  </pic:spPr>
                </pic:pic>
              </a:graphicData>
            </a:graphic>
            <wp14:sizeRelH relativeFrom="margin">
              <wp14:pctWidth>0</wp14:pctWidth>
            </wp14:sizeRelH>
            <wp14:sizeRelV relativeFrom="margin">
              <wp14:pctHeight>0</wp14:pctHeight>
            </wp14:sizeRelV>
          </wp:anchor>
        </w:drawing>
      </w:r>
      <w:r w:rsidR="002209C8" w:rsidRPr="002209C8">
        <w:rPr>
          <w:lang w:val="en-GB"/>
        </w:rPr>
        <w:t>Introduction</w:t>
      </w:r>
      <w:bookmarkEnd w:id="35"/>
      <w:bookmarkEnd w:id="36"/>
      <w:bookmarkEnd w:id="37"/>
    </w:p>
    <w:p w14:paraId="598079AF" w14:textId="2E261BB8" w:rsidR="00F2109F" w:rsidRDefault="00F2109F" w:rsidP="00F2109F">
      <w:pPr>
        <w:rPr>
          <w:lang w:val="en-GB"/>
        </w:rPr>
      </w:pPr>
      <w:r>
        <w:rPr>
          <w:noProof/>
          <w:lang w:val="en-GB"/>
        </w:rPr>
        <w:drawing>
          <wp:inline distT="0" distB="0" distL="0" distR="0" wp14:anchorId="07023CA9" wp14:editId="70EAA632">
            <wp:extent cx="2025000" cy="2700000"/>
            <wp:effectExtent l="0" t="0" r="0" b="5715"/>
            <wp:docPr id="2121958376" name="Picture 2" descr="Photo of Philip 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58376" name="Picture 2" descr="Photo of Philip Re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5000" cy="2700000"/>
                    </a:xfrm>
                    <a:prstGeom prst="rect">
                      <a:avLst/>
                    </a:prstGeom>
                  </pic:spPr>
                </pic:pic>
              </a:graphicData>
            </a:graphic>
          </wp:inline>
        </w:drawing>
      </w:r>
    </w:p>
    <w:p w14:paraId="7D55A19C" w14:textId="5925CD17" w:rsidR="003735B2" w:rsidRPr="00F2109F" w:rsidRDefault="003735B2" w:rsidP="00F2109F">
      <w:pPr>
        <w:rPr>
          <w:lang w:val="en-GB"/>
        </w:rPr>
      </w:pPr>
      <w:r>
        <w:rPr>
          <w:b/>
          <w:bCs/>
          <w:lang w:val="en-GB"/>
        </w:rPr>
        <w:t xml:space="preserve">Mr </w:t>
      </w:r>
      <w:r w:rsidRPr="002209C8">
        <w:rPr>
          <w:b/>
          <w:bCs/>
          <w:lang w:val="en-GB"/>
        </w:rPr>
        <w:t>Philip Reed</w:t>
      </w:r>
      <w:r w:rsidRPr="002209C8">
        <w:rPr>
          <w:lang w:val="en-GB"/>
        </w:rPr>
        <w:br/>
        <w:t>Chief Executive Officer</w:t>
      </w:r>
    </w:p>
    <w:p w14:paraId="0C406C2C" w14:textId="002FD234" w:rsidR="003735B2" w:rsidRPr="003735B2" w:rsidRDefault="003735B2" w:rsidP="003735B2">
      <w:pPr>
        <w:rPr>
          <w:lang w:val="en-GB"/>
        </w:rPr>
      </w:pPr>
      <w:r w:rsidRPr="003735B2">
        <w:rPr>
          <w:lang w:val="en-GB"/>
        </w:rPr>
        <w:t xml:space="preserve">As the Chief Executive Officer and Accountable Authority of the National Anti‑Corruption Commission, I am pleased to present the Commission’s 2025‑29 Corporate Plan as required under section 35(1)(b) of the </w:t>
      </w:r>
      <w:r w:rsidRPr="003735B2">
        <w:rPr>
          <w:i/>
          <w:iCs/>
          <w:lang w:val="en-GB"/>
        </w:rPr>
        <w:t>Public</w:t>
      </w:r>
      <w:r w:rsidR="00434A7D">
        <w:rPr>
          <w:i/>
          <w:iCs/>
          <w:lang w:val="en-GB"/>
        </w:rPr>
        <w:t xml:space="preserve"> </w:t>
      </w:r>
      <w:r w:rsidRPr="003735B2">
        <w:rPr>
          <w:i/>
          <w:iCs/>
          <w:lang w:val="en-GB"/>
        </w:rPr>
        <w:t>Governance, Performance and Accountability Act 2013</w:t>
      </w:r>
      <w:r w:rsidRPr="003735B2">
        <w:rPr>
          <w:lang w:val="en-GB"/>
        </w:rPr>
        <w:t xml:space="preserve"> (PGPA</w:t>
      </w:r>
      <w:r w:rsidR="00AB7525">
        <w:rPr>
          <w:lang w:val="en-GB"/>
        </w:rPr>
        <w:t xml:space="preserve"> </w:t>
      </w:r>
      <w:r w:rsidRPr="003735B2">
        <w:rPr>
          <w:lang w:val="en-GB"/>
        </w:rPr>
        <w:t>Act).</w:t>
      </w:r>
    </w:p>
    <w:p w14:paraId="1E829BFE" w14:textId="77777777" w:rsidR="003735B2" w:rsidRPr="003735B2" w:rsidRDefault="003735B2" w:rsidP="003735B2">
      <w:pPr>
        <w:rPr>
          <w:lang w:val="en-GB"/>
        </w:rPr>
      </w:pPr>
      <w:r w:rsidRPr="003735B2">
        <w:rPr>
          <w:lang w:val="en-GB"/>
        </w:rPr>
        <w:t>This plan is prepared for the financial year 2025–26 and covers the 4-year period 2025–29.</w:t>
      </w:r>
    </w:p>
    <w:p w14:paraId="13A7281B" w14:textId="1F90FCA5" w:rsidR="003735B2" w:rsidRPr="003735B2" w:rsidRDefault="003735B2" w:rsidP="003735B2">
      <w:pPr>
        <w:rPr>
          <w:lang w:val="en-GB"/>
        </w:rPr>
      </w:pPr>
      <w:r w:rsidRPr="003735B2">
        <w:rPr>
          <w:lang w:val="en-GB"/>
        </w:rPr>
        <w:t>The plan identifies the purpose, including guiding principles, key activities, operating context and performance measures for the Commission for the next 4</w:t>
      </w:r>
      <w:r w:rsidR="00AB7525">
        <w:rPr>
          <w:lang w:val="en-GB"/>
        </w:rPr>
        <w:t xml:space="preserve"> </w:t>
      </w:r>
      <w:r w:rsidRPr="003735B2">
        <w:rPr>
          <w:lang w:val="en-GB"/>
        </w:rPr>
        <w:t>years. It details the opportunities and challenges we face and how we will measure and assess the Commission’s</w:t>
      </w:r>
      <w:r w:rsidR="00AB7525">
        <w:rPr>
          <w:lang w:val="en-GB"/>
        </w:rPr>
        <w:t xml:space="preserve"> </w:t>
      </w:r>
      <w:r w:rsidRPr="003735B2">
        <w:rPr>
          <w:lang w:val="en-GB"/>
        </w:rPr>
        <w:t>performance in achieving its purpose.</w:t>
      </w:r>
    </w:p>
    <w:p w14:paraId="44DF6941" w14:textId="00009336" w:rsidR="002209C8" w:rsidRPr="002E2A35" w:rsidRDefault="003735B2" w:rsidP="003735B2">
      <w:r w:rsidRPr="003735B2">
        <w:rPr>
          <w:lang w:val="en-GB"/>
        </w:rPr>
        <w:t xml:space="preserve">The reporting period will be a significant phase for the Commission as we further expand our workforce and capability, and shift from key establishment activities to executing our core functions in line with our performance measures. Our focus will be on delivering on our priorities </w:t>
      </w:r>
      <w:r w:rsidR="00434A7D">
        <w:rPr>
          <w:noProof/>
          <w:lang w:val="en-GB"/>
        </w:rPr>
        <w:lastRenderedPageBreak/>
        <w:drawing>
          <wp:anchor distT="0" distB="0" distL="114300" distR="114300" simplePos="0" relativeHeight="251689984" behindDoc="1" locked="0" layoutInCell="1" allowOverlap="1" wp14:anchorId="43029ABB" wp14:editId="5B43E5D8">
            <wp:simplePos x="0" y="0"/>
            <wp:positionH relativeFrom="page">
              <wp:align>left</wp:align>
            </wp:positionH>
            <wp:positionV relativeFrom="page">
              <wp:posOffset>-3695700</wp:posOffset>
            </wp:positionV>
            <wp:extent cx="160980" cy="7545946"/>
            <wp:effectExtent l="0" t="15875" r="0" b="0"/>
            <wp:wrapNone/>
            <wp:docPr id="10078311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0980"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rot="5400000">
                      <a:off x="0" y="0"/>
                      <a:ext cx="160980" cy="7545946"/>
                    </a:xfrm>
                    <a:prstGeom prst="rect">
                      <a:avLst/>
                    </a:prstGeom>
                  </pic:spPr>
                </pic:pic>
              </a:graphicData>
            </a:graphic>
            <wp14:sizeRelH relativeFrom="margin">
              <wp14:pctWidth>0</wp14:pctWidth>
            </wp14:sizeRelH>
            <wp14:sizeRelV relativeFrom="margin">
              <wp14:pctHeight>0</wp14:pctHeight>
            </wp14:sizeRelV>
          </wp:anchor>
        </w:drawing>
      </w:r>
      <w:r w:rsidRPr="003735B2">
        <w:rPr>
          <w:lang w:val="en-GB"/>
        </w:rPr>
        <w:t>effectively, embedding systems to support continual improvement, and remaining responsive in an ever-changing operating environment.</w:t>
      </w:r>
    </w:p>
    <w:p w14:paraId="49D5AEE4" w14:textId="567294E6" w:rsidR="002209C8" w:rsidRPr="002209C8" w:rsidRDefault="00587E0B" w:rsidP="00671E4B">
      <w:pPr>
        <w:rPr>
          <w:lang w:val="en-GB"/>
        </w:rPr>
      </w:pPr>
      <w:r>
        <w:rPr>
          <w:noProof/>
          <w:lang w:val="en-GB"/>
        </w:rPr>
        <w:drawing>
          <wp:inline distT="0" distB="0" distL="0" distR="0" wp14:anchorId="7E535CE7" wp14:editId="2627DE97">
            <wp:extent cx="1632857" cy="823478"/>
            <wp:effectExtent l="0" t="0" r="5715" b="0"/>
            <wp:docPr id="2116166358" name="Picture 2" descr="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66358" name="Picture 2" descr="A signa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9278" cy="826716"/>
                    </a:xfrm>
                    <a:prstGeom prst="rect">
                      <a:avLst/>
                    </a:prstGeom>
                  </pic:spPr>
                </pic:pic>
              </a:graphicData>
            </a:graphic>
          </wp:inline>
        </w:drawing>
      </w:r>
    </w:p>
    <w:p w14:paraId="018A49BF" w14:textId="489F7313" w:rsidR="002209C8" w:rsidRPr="002209C8" w:rsidRDefault="007B6412" w:rsidP="002209C8">
      <w:pPr>
        <w:rPr>
          <w:lang w:val="en-GB"/>
        </w:rPr>
      </w:pPr>
      <w:r>
        <w:rPr>
          <w:b/>
          <w:bCs/>
          <w:lang w:val="en-GB"/>
        </w:rPr>
        <w:t xml:space="preserve">Mr </w:t>
      </w:r>
      <w:r w:rsidR="002209C8" w:rsidRPr="002209C8">
        <w:rPr>
          <w:b/>
          <w:bCs/>
          <w:lang w:val="en-GB"/>
        </w:rPr>
        <w:t>Philip Reed</w:t>
      </w:r>
      <w:r w:rsidR="002209C8" w:rsidRPr="002209C8">
        <w:rPr>
          <w:lang w:val="en-GB"/>
        </w:rPr>
        <w:br/>
        <w:t>Chief Executive Officer</w:t>
      </w:r>
    </w:p>
    <w:p w14:paraId="313BD52B" w14:textId="77777777" w:rsidR="002209C8" w:rsidRPr="002209C8" w:rsidRDefault="002209C8" w:rsidP="00122655">
      <w:pPr>
        <w:pStyle w:val="Heading1"/>
        <w:rPr>
          <w:lang w:val="en-GB"/>
        </w:rPr>
      </w:pPr>
      <w:bookmarkStart w:id="38" w:name="_Toc221793664"/>
      <w:bookmarkStart w:id="39" w:name="_Toc221793684"/>
      <w:bookmarkStart w:id="40" w:name="_Toc221801454"/>
      <w:r w:rsidRPr="002209C8">
        <w:rPr>
          <w:lang w:val="en-GB"/>
        </w:rPr>
        <w:lastRenderedPageBreak/>
        <w:t>Purpose</w:t>
      </w:r>
      <w:bookmarkEnd w:id="38"/>
      <w:bookmarkEnd w:id="39"/>
      <w:bookmarkEnd w:id="40"/>
    </w:p>
    <w:p w14:paraId="670C01D0" w14:textId="5FAAEE2D" w:rsidR="003735B2" w:rsidRPr="00671E4B" w:rsidRDefault="003735B2" w:rsidP="00671E4B">
      <w:pPr>
        <w:rPr>
          <w:color w:val="1B598C" w:themeColor="text1"/>
          <w:lang w:val="en-GB"/>
        </w:rPr>
      </w:pPr>
      <w:r w:rsidRPr="00671E4B">
        <w:rPr>
          <w:color w:val="1B598C" w:themeColor="text1"/>
          <w:lang w:val="en-GB"/>
        </w:rPr>
        <w:t xml:space="preserve">The National Anti‑Corruption Commission is an independent Commonwealth entity established under the </w:t>
      </w:r>
      <w:r w:rsidRPr="00671E4B">
        <w:rPr>
          <w:i/>
          <w:iCs/>
          <w:color w:val="1B598C" w:themeColor="text1"/>
          <w:lang w:val="en-GB"/>
        </w:rPr>
        <w:t>National Anti‑Corruption Commission Act 2022</w:t>
      </w:r>
      <w:r w:rsidRPr="00671E4B">
        <w:rPr>
          <w:color w:val="1B598C" w:themeColor="text1"/>
          <w:lang w:val="en-GB"/>
        </w:rPr>
        <w:t xml:space="preserve"> (NACC</w:t>
      </w:r>
      <w:r w:rsidR="00AB7525">
        <w:rPr>
          <w:color w:val="1B598C" w:themeColor="text1"/>
          <w:lang w:val="en-GB"/>
        </w:rPr>
        <w:t xml:space="preserve"> </w:t>
      </w:r>
      <w:r w:rsidRPr="00671E4B">
        <w:rPr>
          <w:color w:val="1B598C" w:themeColor="text1"/>
          <w:lang w:val="en-GB"/>
        </w:rPr>
        <w:t>Act) to provide independent assurance to the Australian community that corrupt conduct involving Commonwealth public officials is prevented, detected, investigated and responded to appropriately.</w:t>
      </w:r>
    </w:p>
    <w:p w14:paraId="6DF93B68" w14:textId="77777777" w:rsidR="00737E06" w:rsidRPr="00737E06" w:rsidRDefault="00737E06" w:rsidP="00737E06">
      <w:pPr>
        <w:rPr>
          <w:lang w:val="en-GB"/>
        </w:rPr>
      </w:pPr>
      <w:r w:rsidRPr="00737E06">
        <w:rPr>
          <w:lang w:val="en-GB"/>
        </w:rPr>
        <w:t>The Commission’s mission is to enhance integrity in the Commonwealth public sector by deterring, detecting and preventing corrupt conduct involving Commonwealth public officials through education, monitoring, investigation, reporting and referral.</w:t>
      </w:r>
    </w:p>
    <w:p w14:paraId="0D68FE52" w14:textId="77777777" w:rsidR="00737E06" w:rsidRPr="00737E06" w:rsidRDefault="00737E06" w:rsidP="00737E06">
      <w:pPr>
        <w:rPr>
          <w:lang w:val="en-GB"/>
        </w:rPr>
      </w:pPr>
      <w:r w:rsidRPr="00737E06">
        <w:rPr>
          <w:lang w:val="en-GB"/>
        </w:rPr>
        <w:t>Under the NACC Act, the Commission can investigate alleged corrupt conduct involving Commonwealth public officials.</w:t>
      </w:r>
    </w:p>
    <w:p w14:paraId="0FF134E2" w14:textId="77777777" w:rsidR="00737E06" w:rsidRPr="00737E06" w:rsidRDefault="00737E06" w:rsidP="00737E06">
      <w:pPr>
        <w:rPr>
          <w:lang w:val="en-GB"/>
        </w:rPr>
      </w:pPr>
      <w:r w:rsidRPr="00737E06">
        <w:rPr>
          <w:lang w:val="en-GB"/>
        </w:rPr>
        <w:t>Public officials include parliamentarians (including ministers), and staff members of Commonwealth agencies. Staff members of Commonwealth agencies include individuals employed by or engaged in assisting the agency, and individuals responsible for delivering goods or services to or on behalf of the agency under a Commonwealth contract administered by the agency.</w:t>
      </w:r>
    </w:p>
    <w:p w14:paraId="33867235" w14:textId="77777777" w:rsidR="00737E06" w:rsidRPr="00737E06" w:rsidRDefault="00737E06" w:rsidP="00737E06">
      <w:pPr>
        <w:rPr>
          <w:lang w:val="en-GB"/>
        </w:rPr>
      </w:pPr>
      <w:r w:rsidRPr="00737E06">
        <w:rPr>
          <w:lang w:val="en-GB"/>
        </w:rPr>
        <w:t>Corrupt conduct is:</w:t>
      </w:r>
    </w:p>
    <w:p w14:paraId="47D82642" w14:textId="77777777" w:rsidR="00737E06" w:rsidRPr="00737E06" w:rsidRDefault="00737E06" w:rsidP="00737E06">
      <w:pPr>
        <w:pStyle w:val="Bullet1"/>
        <w:rPr>
          <w:lang w:val="en-GB"/>
        </w:rPr>
      </w:pPr>
      <w:r w:rsidRPr="00737E06">
        <w:rPr>
          <w:lang w:val="en-GB"/>
        </w:rPr>
        <w:t>conduct by a public official that involves a breach of public trust. This means a public official using a power or discretion for a purpose for which it was not conferred, typically a private purpose</w:t>
      </w:r>
    </w:p>
    <w:p w14:paraId="4A4084FF" w14:textId="77777777" w:rsidR="00737E06" w:rsidRPr="00737E06" w:rsidRDefault="00737E06" w:rsidP="00737E06">
      <w:pPr>
        <w:pStyle w:val="Bullet1"/>
        <w:rPr>
          <w:lang w:val="en-GB"/>
        </w:rPr>
      </w:pPr>
      <w:r w:rsidRPr="00737E06">
        <w:rPr>
          <w:lang w:val="en-GB"/>
        </w:rPr>
        <w:t>conduct by a public official that involves an abuse of office. This means a public official using their position to gain a private advantage</w:t>
      </w:r>
    </w:p>
    <w:p w14:paraId="283B0E5E" w14:textId="77777777" w:rsidR="00737E06" w:rsidRPr="00737E06" w:rsidRDefault="00737E06" w:rsidP="00737E06">
      <w:pPr>
        <w:pStyle w:val="Bullet1"/>
        <w:rPr>
          <w:lang w:val="en-GB"/>
        </w:rPr>
      </w:pPr>
      <w:r w:rsidRPr="00737E06">
        <w:rPr>
          <w:lang w:val="en-GB"/>
        </w:rPr>
        <w:t>misuse of official information. This means a public official or former public official making improper use of information they obtained in their official capacity</w:t>
      </w:r>
    </w:p>
    <w:p w14:paraId="7CA2FCEB" w14:textId="77777777" w:rsidR="00737E06" w:rsidRPr="00737E06" w:rsidRDefault="00737E06" w:rsidP="00737E06">
      <w:pPr>
        <w:pStyle w:val="Bullet1"/>
        <w:rPr>
          <w:lang w:val="en-GB"/>
        </w:rPr>
      </w:pPr>
      <w:r w:rsidRPr="00737E06">
        <w:rPr>
          <w:lang w:val="en-GB"/>
        </w:rPr>
        <w:lastRenderedPageBreak/>
        <w:t>conduct by anyone, including a public official, to cause a public official to perform their public functions other than honestly or impartially.</w:t>
      </w:r>
    </w:p>
    <w:p w14:paraId="13CDBC3C" w14:textId="77777777" w:rsidR="00737E06" w:rsidRPr="00737E06" w:rsidRDefault="00737E06" w:rsidP="00737E06">
      <w:pPr>
        <w:rPr>
          <w:lang w:val="en-GB"/>
        </w:rPr>
      </w:pPr>
      <w:r w:rsidRPr="00737E06">
        <w:rPr>
          <w:lang w:val="en-GB"/>
        </w:rPr>
        <w:t>The Commission cannot investigate concerns relating to state, territory or local government officials. Each state and territory has a similar integrity or anti-corruption commission that may be able to investigate those matters.</w:t>
      </w:r>
    </w:p>
    <w:p w14:paraId="56BAFCD2" w14:textId="77777777" w:rsidR="00737E06" w:rsidRPr="00737E06" w:rsidRDefault="00737E06" w:rsidP="00737E06">
      <w:pPr>
        <w:rPr>
          <w:lang w:val="en-GB"/>
        </w:rPr>
      </w:pPr>
      <w:r w:rsidRPr="00737E06">
        <w:rPr>
          <w:lang w:val="en-GB"/>
        </w:rPr>
        <w:t xml:space="preserve">The Commission is not a complaints-handling agency, nor an administrative decisions review authority. Making a referral to the Commission is not like making a referral to the Ombudsman or an application to the Administrative Reviews Tribunal: </w:t>
      </w:r>
      <w:proofErr w:type="gramStart"/>
      <w:r w:rsidRPr="00737E06">
        <w:rPr>
          <w:lang w:val="en-GB"/>
        </w:rPr>
        <w:t>the</w:t>
      </w:r>
      <w:proofErr w:type="gramEnd"/>
      <w:r w:rsidRPr="00737E06">
        <w:rPr>
          <w:lang w:val="en-GB"/>
        </w:rPr>
        <w:t xml:space="preserve"> Commission does not adjudicate on individual complaints. Referrals to the Commission are not individual initiating processes on which a referrer is entitled to an adjudication, but a source of information that, with other information, can help the Commission identify and decide what it should investigate, and where it should focus in the public interest, to have the optimal impact in deterring and preventing corrupt conduct.</w:t>
      </w:r>
    </w:p>
    <w:p w14:paraId="5E81F8E0" w14:textId="77777777" w:rsidR="00737E06" w:rsidRPr="00737E06" w:rsidRDefault="00737E06" w:rsidP="00737E06">
      <w:pPr>
        <w:rPr>
          <w:lang w:val="en-GB"/>
        </w:rPr>
      </w:pPr>
      <w:r w:rsidRPr="00737E06">
        <w:rPr>
          <w:lang w:val="en-GB"/>
        </w:rPr>
        <w:t>Often that means the Commission will focus on matters which are not and have not been the subject of investigation by other agencies, rather than those which have been or are under investigation elsewhere.</w:t>
      </w:r>
    </w:p>
    <w:p w14:paraId="3B359B7E" w14:textId="77777777" w:rsidR="00737E06" w:rsidRPr="00737E06" w:rsidRDefault="00737E06" w:rsidP="00737E06">
      <w:pPr>
        <w:rPr>
          <w:lang w:val="en-GB"/>
        </w:rPr>
      </w:pPr>
      <w:r w:rsidRPr="00737E06">
        <w:rPr>
          <w:lang w:val="en-GB"/>
        </w:rPr>
        <w:t>To investigate a corruption issue, the Commission must have information raising the possibility that a person has done or could do something that:</w:t>
      </w:r>
    </w:p>
    <w:p w14:paraId="129AFCC1" w14:textId="77777777" w:rsidR="00737E06" w:rsidRPr="00737E06" w:rsidRDefault="00737E06" w:rsidP="00737E06">
      <w:pPr>
        <w:pStyle w:val="Bullet1"/>
        <w:rPr>
          <w:lang w:val="en-GB"/>
        </w:rPr>
      </w:pPr>
      <w:r w:rsidRPr="00737E06">
        <w:rPr>
          <w:lang w:val="en-GB"/>
        </w:rPr>
        <w:t>involves, or could involve, a public official</w:t>
      </w:r>
    </w:p>
    <w:p w14:paraId="5EDF32A1" w14:textId="3C3F8701" w:rsidR="00737E06" w:rsidRPr="00737E06" w:rsidRDefault="00737E06" w:rsidP="00737E06">
      <w:pPr>
        <w:pStyle w:val="Bullet1"/>
        <w:rPr>
          <w:lang w:val="en-GB"/>
        </w:rPr>
      </w:pPr>
      <w:r w:rsidRPr="00737E06">
        <w:rPr>
          <w:lang w:val="en-GB"/>
        </w:rPr>
        <w:t>is, or could be, corrupt conduct under the</w:t>
      </w:r>
      <w:r w:rsidR="00AB7525">
        <w:rPr>
          <w:lang w:val="en-GB"/>
        </w:rPr>
        <w:t xml:space="preserve"> </w:t>
      </w:r>
      <w:r w:rsidRPr="00737E06">
        <w:rPr>
          <w:lang w:val="en-GB"/>
        </w:rPr>
        <w:t>NACC Act</w:t>
      </w:r>
    </w:p>
    <w:p w14:paraId="33A6455F" w14:textId="77777777" w:rsidR="00737E06" w:rsidRPr="00737E06" w:rsidRDefault="00737E06" w:rsidP="00737E06">
      <w:pPr>
        <w:pStyle w:val="Bullet1"/>
        <w:rPr>
          <w:lang w:val="en-GB"/>
        </w:rPr>
      </w:pPr>
      <w:r w:rsidRPr="00737E06">
        <w:rPr>
          <w:lang w:val="en-GB"/>
        </w:rPr>
        <w:t>could involve serious or systemic corrupt conduct.</w:t>
      </w:r>
    </w:p>
    <w:p w14:paraId="0CC02329" w14:textId="31D3EB8D" w:rsidR="00737E06" w:rsidRPr="00737E06" w:rsidRDefault="00737E06" w:rsidP="00737E06">
      <w:pPr>
        <w:rPr>
          <w:lang w:val="en-GB"/>
        </w:rPr>
      </w:pPr>
      <w:r w:rsidRPr="00737E06">
        <w:rPr>
          <w:lang w:val="en-GB"/>
        </w:rPr>
        <w:t xml:space="preserve">The NACC Act does not define serious or systemic corrupt conduct. Under section 279 of the NACC Act, the Commission has issued guidance on </w:t>
      </w:r>
      <w:hyperlink r:id="rId27" w:history="1">
        <w:r w:rsidRPr="00737E06">
          <w:rPr>
            <w:rStyle w:val="Hyperlink"/>
            <w:lang w:val="en-GB"/>
          </w:rPr>
          <w:t>what is serious or systemic corrupt conduct</w:t>
        </w:r>
      </w:hyperlink>
      <w:r w:rsidRPr="00737E06">
        <w:rPr>
          <w:lang w:val="en-GB"/>
        </w:rPr>
        <w:t xml:space="preserve"> to assist public officials with the operation of the Act, available on the Commission website.</w:t>
      </w:r>
    </w:p>
    <w:p w14:paraId="4211809C" w14:textId="77777777" w:rsidR="00737E06" w:rsidRPr="00737E06" w:rsidRDefault="00737E06" w:rsidP="00737E06">
      <w:pPr>
        <w:rPr>
          <w:lang w:val="en-GB"/>
        </w:rPr>
      </w:pPr>
      <w:r w:rsidRPr="00737E06">
        <w:rPr>
          <w:b/>
          <w:bCs/>
          <w:lang w:val="en-GB"/>
        </w:rPr>
        <w:lastRenderedPageBreak/>
        <w:t>Serious corrupt conduct</w:t>
      </w:r>
      <w:r w:rsidRPr="00737E06">
        <w:rPr>
          <w:lang w:val="en-GB"/>
        </w:rPr>
        <w:t xml:space="preserve"> is corrupt conduct that is significant, more than negligible or trivial, and does not have to be severe or grave.</w:t>
      </w:r>
    </w:p>
    <w:p w14:paraId="347FBAA9" w14:textId="77777777" w:rsidR="00737E06" w:rsidRPr="00737E06" w:rsidRDefault="00737E06" w:rsidP="00737E06">
      <w:pPr>
        <w:rPr>
          <w:lang w:val="en-GB"/>
        </w:rPr>
      </w:pPr>
      <w:r w:rsidRPr="00737E06">
        <w:rPr>
          <w:b/>
          <w:bCs/>
          <w:lang w:val="en-GB"/>
        </w:rPr>
        <w:t>Systemic corrupt conduct</w:t>
      </w:r>
      <w:r w:rsidRPr="00737E06">
        <w:rPr>
          <w:lang w:val="en-GB"/>
        </w:rPr>
        <w:t xml:space="preserve"> is corrupt conduct that involves more than an isolated case, involves a pattern of behaviour, or affects or is embedded in a system. It can occur in one or multiple agencies, and can involve one or multiple individuals, and does not have to be coordinated.</w:t>
      </w:r>
    </w:p>
    <w:p w14:paraId="2328C501" w14:textId="77777777" w:rsidR="00737E06" w:rsidRPr="004A5128" w:rsidRDefault="00737E06" w:rsidP="004A5128">
      <w:pPr>
        <w:rPr>
          <w:b/>
          <w:bCs/>
          <w:lang w:val="en-GB"/>
        </w:rPr>
      </w:pPr>
      <w:r w:rsidRPr="004A5128">
        <w:rPr>
          <w:b/>
          <w:bCs/>
          <w:lang w:val="en-GB"/>
        </w:rPr>
        <w:t>Guiding principles</w:t>
      </w:r>
    </w:p>
    <w:p w14:paraId="03847FC8" w14:textId="7F2EFABF" w:rsidR="00313597" w:rsidRPr="00313597" w:rsidRDefault="00737E06" w:rsidP="00313597">
      <w:pPr>
        <w:rPr>
          <w:lang w:val="en-GB"/>
        </w:rPr>
      </w:pPr>
      <w:r w:rsidRPr="00737E06">
        <w:rPr>
          <w:lang w:val="en-GB"/>
        </w:rPr>
        <w:t>Five guiding principles inform how the Commission operates and makes decisions. These are:</w:t>
      </w:r>
    </w:p>
    <w:p w14:paraId="0D26DA00" w14:textId="77777777" w:rsidR="00313597" w:rsidRPr="00313597" w:rsidRDefault="00313597" w:rsidP="00317C60">
      <w:pPr>
        <w:pStyle w:val="List1Numbered1"/>
        <w:numPr>
          <w:ilvl w:val="0"/>
          <w:numId w:val="14"/>
        </w:numPr>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left="1134" w:right="521"/>
        <w:rPr>
          <w:lang w:val="en-GB"/>
        </w:rPr>
      </w:pPr>
      <w:r w:rsidRPr="00313597">
        <w:rPr>
          <w:lang w:val="en-GB"/>
        </w:rPr>
        <w:t>Independent</w:t>
      </w:r>
    </w:p>
    <w:p w14:paraId="2685EA46" w14:textId="77777777" w:rsidR="00313597" w:rsidRPr="00313597" w:rsidRDefault="00313597" w:rsidP="00317C60">
      <w:pPr>
        <w:pStyle w:val="List1Numbered1"/>
        <w:numPr>
          <w:ilvl w:val="0"/>
          <w:numId w:val="14"/>
        </w:numPr>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left="1134" w:right="521"/>
        <w:rPr>
          <w:lang w:val="en-GB"/>
        </w:rPr>
      </w:pPr>
      <w:r w:rsidRPr="00313597">
        <w:rPr>
          <w:lang w:val="en-GB"/>
        </w:rPr>
        <w:t>Value adding</w:t>
      </w:r>
    </w:p>
    <w:p w14:paraId="7A7942B6" w14:textId="77777777" w:rsidR="00313597" w:rsidRPr="00313597" w:rsidRDefault="00313597" w:rsidP="00317C60">
      <w:pPr>
        <w:pStyle w:val="List1Numbered1"/>
        <w:numPr>
          <w:ilvl w:val="0"/>
          <w:numId w:val="14"/>
        </w:numPr>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left="1134" w:right="521"/>
        <w:rPr>
          <w:lang w:val="en-GB"/>
        </w:rPr>
      </w:pPr>
      <w:r w:rsidRPr="00313597">
        <w:rPr>
          <w:lang w:val="en-GB"/>
        </w:rPr>
        <w:t>Evidence based</w:t>
      </w:r>
    </w:p>
    <w:p w14:paraId="190144AB" w14:textId="0EACAE60" w:rsidR="00313597" w:rsidRPr="00313597" w:rsidRDefault="00313597" w:rsidP="00317C60">
      <w:pPr>
        <w:pStyle w:val="List1Numbered1"/>
        <w:numPr>
          <w:ilvl w:val="0"/>
          <w:numId w:val="14"/>
        </w:numPr>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left="1134" w:right="521"/>
        <w:rPr>
          <w:lang w:val="en-GB"/>
        </w:rPr>
      </w:pPr>
      <w:r w:rsidRPr="00313597">
        <w:rPr>
          <w:lang w:val="en-GB"/>
        </w:rPr>
        <w:t>Data driven</w:t>
      </w:r>
    </w:p>
    <w:p w14:paraId="60B41409" w14:textId="77777777" w:rsidR="00313597" w:rsidRPr="00313597" w:rsidRDefault="00313597" w:rsidP="00317C60">
      <w:pPr>
        <w:pStyle w:val="List1Numbered1"/>
        <w:numPr>
          <w:ilvl w:val="0"/>
          <w:numId w:val="14"/>
        </w:numPr>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left="1134" w:right="521"/>
        <w:rPr>
          <w:lang w:val="en-GB"/>
        </w:rPr>
      </w:pPr>
      <w:r w:rsidRPr="00313597">
        <w:rPr>
          <w:lang w:val="en-GB"/>
        </w:rPr>
        <w:t>People focused</w:t>
      </w:r>
    </w:p>
    <w:p w14:paraId="4EB135FD" w14:textId="77777777" w:rsidR="0099425D" w:rsidRPr="0099425D" w:rsidRDefault="0099425D" w:rsidP="00AB7525">
      <w:pPr>
        <w:pStyle w:val="Heading3"/>
        <w:spacing w:before="360" w:after="240"/>
        <w:rPr>
          <w:lang w:val="en-GB"/>
        </w:rPr>
      </w:pPr>
      <w:r w:rsidRPr="0099425D">
        <w:rPr>
          <w:lang w:val="en-GB"/>
        </w:rPr>
        <w:t>Independent</w:t>
      </w:r>
    </w:p>
    <w:p w14:paraId="7F7108B8" w14:textId="77777777" w:rsidR="0099425D" w:rsidRPr="0099425D" w:rsidRDefault="0099425D" w:rsidP="0099425D">
      <w:pPr>
        <w:rPr>
          <w:lang w:val="en-GB"/>
        </w:rPr>
      </w:pPr>
      <w:r w:rsidRPr="0099425D">
        <w:rPr>
          <w:lang w:val="en-GB"/>
        </w:rPr>
        <w:t>The Commission operates independently of government and impartially, to maintain the trust of the Australian public. This means no-one can tell the Commission what to investigate or what to decide.</w:t>
      </w:r>
    </w:p>
    <w:p w14:paraId="2E686492" w14:textId="77777777" w:rsidR="0099425D" w:rsidRPr="0099425D" w:rsidRDefault="0099425D" w:rsidP="00AB7525">
      <w:pPr>
        <w:pStyle w:val="Heading3"/>
        <w:spacing w:before="360" w:after="240"/>
        <w:rPr>
          <w:lang w:val="en-GB"/>
        </w:rPr>
      </w:pPr>
      <w:r w:rsidRPr="0099425D">
        <w:rPr>
          <w:lang w:val="en-GB"/>
        </w:rPr>
        <w:t>Value-adding</w:t>
      </w:r>
    </w:p>
    <w:p w14:paraId="75E6F3E7" w14:textId="77777777" w:rsidR="0099425D" w:rsidRPr="0099425D" w:rsidRDefault="0099425D" w:rsidP="0099425D">
      <w:pPr>
        <w:rPr>
          <w:lang w:val="en-GB"/>
        </w:rPr>
      </w:pPr>
      <w:r w:rsidRPr="0099425D">
        <w:rPr>
          <w:lang w:val="en-GB"/>
        </w:rPr>
        <w:t>The Commission focuses on matters where it is best positioned to add value in the public interest by deterring or preventing corruption in circumstances where other agencies are less well-equipped to do so. This means the Commission is less likely to investigate a matter if another agency has already addressed it or is well-equipped to do so.</w:t>
      </w:r>
    </w:p>
    <w:p w14:paraId="3827CDF8" w14:textId="77777777" w:rsidR="0099425D" w:rsidRPr="0099425D" w:rsidRDefault="0099425D" w:rsidP="00AB7525">
      <w:pPr>
        <w:pStyle w:val="Heading3"/>
        <w:spacing w:before="360" w:after="240"/>
        <w:rPr>
          <w:lang w:val="en-GB"/>
        </w:rPr>
      </w:pPr>
      <w:r w:rsidRPr="0099425D">
        <w:rPr>
          <w:lang w:val="en-GB"/>
        </w:rPr>
        <w:lastRenderedPageBreak/>
        <w:t>Evidence-based</w:t>
      </w:r>
    </w:p>
    <w:p w14:paraId="6A15700B" w14:textId="77777777" w:rsidR="0099425D" w:rsidRPr="0099425D" w:rsidRDefault="0099425D" w:rsidP="0099425D">
      <w:pPr>
        <w:rPr>
          <w:lang w:val="en-GB"/>
        </w:rPr>
      </w:pPr>
      <w:r w:rsidRPr="0099425D">
        <w:rPr>
          <w:lang w:val="en-GB"/>
        </w:rPr>
        <w:t>The Commission acts on evidence. This means Commission decisions are based on evidence, not on speculation or on populism.</w:t>
      </w:r>
    </w:p>
    <w:p w14:paraId="537844BD" w14:textId="77777777" w:rsidR="0099425D" w:rsidRPr="0099425D" w:rsidRDefault="0099425D" w:rsidP="0099425D">
      <w:pPr>
        <w:rPr>
          <w:rFonts w:asciiTheme="minorHAnsi" w:hAnsiTheme="minorHAnsi"/>
          <w:b/>
          <w:bCs/>
          <w:lang w:val="en-GB"/>
        </w:rPr>
      </w:pPr>
      <w:r w:rsidRPr="0099425D">
        <w:rPr>
          <w:rFonts w:asciiTheme="minorHAnsi" w:hAnsiTheme="minorHAnsi"/>
          <w:b/>
          <w:bCs/>
          <w:lang w:val="en-GB"/>
        </w:rPr>
        <w:t>Data driven</w:t>
      </w:r>
    </w:p>
    <w:p w14:paraId="47F1F255" w14:textId="77777777" w:rsidR="0099425D" w:rsidRPr="0099425D" w:rsidRDefault="0099425D" w:rsidP="0099425D">
      <w:pPr>
        <w:rPr>
          <w:lang w:val="en-GB"/>
        </w:rPr>
      </w:pPr>
      <w:r w:rsidRPr="0099425D">
        <w:rPr>
          <w:lang w:val="en-GB"/>
        </w:rPr>
        <w:t>The Commission is informed by data. This means the Commission uses data to form insights and identify current trends and emerging risks and issues.</w:t>
      </w:r>
    </w:p>
    <w:p w14:paraId="27EA8165" w14:textId="77777777" w:rsidR="0099425D" w:rsidRPr="0099425D" w:rsidRDefault="0099425D" w:rsidP="00AB7525">
      <w:pPr>
        <w:pStyle w:val="Heading3"/>
        <w:spacing w:before="360" w:after="240"/>
        <w:rPr>
          <w:lang w:val="en-GB"/>
        </w:rPr>
      </w:pPr>
      <w:r w:rsidRPr="0099425D">
        <w:rPr>
          <w:lang w:val="en-GB"/>
        </w:rPr>
        <w:t>People focused</w:t>
      </w:r>
    </w:p>
    <w:p w14:paraId="6A72C359" w14:textId="77777777" w:rsidR="0099425D" w:rsidRPr="0099425D" w:rsidRDefault="0099425D" w:rsidP="0099425D">
      <w:pPr>
        <w:rPr>
          <w:lang w:val="en-GB"/>
        </w:rPr>
      </w:pPr>
      <w:r w:rsidRPr="0099425D">
        <w:rPr>
          <w:lang w:val="en-GB"/>
        </w:rPr>
        <w:t>The Commission cares for people: above all its staff, but also those who engage with it and are affected by its operations. This means the Commission invests in and cares for its workforce to ensure they have the skills, knowledge and capability to succeed.</w:t>
      </w:r>
    </w:p>
    <w:p w14:paraId="6F610A99" w14:textId="2E00DE97" w:rsidR="0099425D" w:rsidRDefault="0099425D" w:rsidP="0099425D">
      <w:pPr>
        <w:rPr>
          <w:lang w:val="en-GB"/>
        </w:rPr>
      </w:pPr>
      <w:r w:rsidRPr="0099425D">
        <w:rPr>
          <w:lang w:val="en-GB"/>
        </w:rPr>
        <w:t>It also means the Commission endeavours to mitigate the inevitable distress that individuals dealing with or affected by its operations may sometimes experience.</w:t>
      </w:r>
    </w:p>
    <w:p w14:paraId="7F38FF3C" w14:textId="77777777" w:rsidR="0099425D" w:rsidRPr="0099425D" w:rsidRDefault="0099425D" w:rsidP="00122655">
      <w:pPr>
        <w:pStyle w:val="Heading1"/>
        <w:rPr>
          <w:lang w:val="en-GB"/>
        </w:rPr>
      </w:pPr>
      <w:bookmarkStart w:id="41" w:name="_Toc221793665"/>
      <w:bookmarkStart w:id="42" w:name="_Toc221793685"/>
      <w:bookmarkStart w:id="43" w:name="_Toc221801455"/>
      <w:r w:rsidRPr="0099425D">
        <w:rPr>
          <w:lang w:val="en-GB"/>
        </w:rPr>
        <w:lastRenderedPageBreak/>
        <w:t>Key activities</w:t>
      </w:r>
      <w:bookmarkEnd w:id="41"/>
      <w:bookmarkEnd w:id="42"/>
      <w:bookmarkEnd w:id="43"/>
    </w:p>
    <w:p w14:paraId="48A49982" w14:textId="77777777" w:rsidR="0099425D" w:rsidRPr="0099425D" w:rsidRDefault="0099425D" w:rsidP="0099425D">
      <w:pPr>
        <w:rPr>
          <w:lang w:val="en-GB"/>
        </w:rPr>
      </w:pPr>
      <w:r w:rsidRPr="0099425D">
        <w:rPr>
          <w:lang w:val="en-GB"/>
        </w:rPr>
        <w:t>To achieve its purpose and execute its mission, the Commission has 2 main lines of operation. These are:</w:t>
      </w:r>
    </w:p>
    <w:p w14:paraId="6DA1DBAD" w14:textId="77777777" w:rsidR="0099425D" w:rsidRPr="0099425D" w:rsidRDefault="0099425D" w:rsidP="0099425D">
      <w:pPr>
        <w:pStyle w:val="ListParagraph"/>
        <w:rPr>
          <w:lang w:val="en-GB"/>
        </w:rPr>
      </w:pPr>
      <w:r w:rsidRPr="0099425D">
        <w:rPr>
          <w:lang w:val="en-GB"/>
        </w:rPr>
        <w:t>deterrence through detection, investigation and exposure</w:t>
      </w:r>
    </w:p>
    <w:p w14:paraId="757578AD" w14:textId="77777777" w:rsidR="0099425D" w:rsidRPr="0099425D" w:rsidRDefault="0099425D" w:rsidP="0099425D">
      <w:pPr>
        <w:pStyle w:val="ListParagraph"/>
        <w:rPr>
          <w:lang w:val="en-GB"/>
        </w:rPr>
      </w:pPr>
      <w:r w:rsidRPr="0099425D">
        <w:rPr>
          <w:lang w:val="en-GB"/>
        </w:rPr>
        <w:t>prevention through engagement and education.</w:t>
      </w:r>
    </w:p>
    <w:p w14:paraId="09B4CC4A" w14:textId="641BBE44" w:rsidR="00BD4635" w:rsidRPr="0099425D" w:rsidRDefault="0099425D" w:rsidP="0099425D">
      <w:pPr>
        <w:rPr>
          <w:lang w:val="en-GB"/>
        </w:rPr>
      </w:pPr>
      <w:r w:rsidRPr="0099425D">
        <w:rPr>
          <w:lang w:val="en-GB"/>
        </w:rPr>
        <w:t>These lines of operation are reflected in the Commission's 5 key activities included in the Portfolio Budget Statements 2025-26:</w:t>
      </w:r>
    </w:p>
    <w:p w14:paraId="513F3EA9" w14:textId="3E992019" w:rsidR="00317C60" w:rsidRPr="00317C60" w:rsidRDefault="0099425D" w:rsidP="00317C60">
      <w:pPr>
        <w:pStyle w:val="List1Numbered2"/>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right="521"/>
        <w:rPr>
          <w:lang w:val="en-GB"/>
        </w:rPr>
      </w:pPr>
      <w:r w:rsidRPr="00317C60">
        <w:rPr>
          <w:lang w:val="en-GB"/>
        </w:rPr>
        <w:t xml:space="preserve">detecting corruption and enhancing the Commonwealth public sector’s </w:t>
      </w:r>
      <w:r w:rsidR="00414116" w:rsidRPr="00317C60">
        <w:rPr>
          <w:lang w:val="en-GB"/>
        </w:rPr>
        <w:t>capabilities</w:t>
      </w:r>
      <w:r w:rsidRPr="00317C60">
        <w:rPr>
          <w:lang w:val="en-GB"/>
        </w:rPr>
        <w:t xml:space="preserve"> to detect corruption</w:t>
      </w:r>
    </w:p>
    <w:p w14:paraId="0AD9D7A4" w14:textId="77777777" w:rsidR="00317C60" w:rsidRDefault="00414116" w:rsidP="003567DE">
      <w:pPr>
        <w:pStyle w:val="List1Numbered2"/>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right="521"/>
        <w:rPr>
          <w:lang w:val="en-GB"/>
        </w:rPr>
      </w:pPr>
      <w:r w:rsidRPr="00317C60">
        <w:rPr>
          <w:lang w:val="en-GB"/>
        </w:rPr>
        <w:t>receiving and assessing referrals of alleged corrupt</w:t>
      </w:r>
    </w:p>
    <w:p w14:paraId="4AEBB881" w14:textId="77777777" w:rsidR="00317C60" w:rsidRDefault="0099425D" w:rsidP="00346B47">
      <w:pPr>
        <w:pStyle w:val="List1Numbered2"/>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right="521"/>
        <w:rPr>
          <w:lang w:val="en-GB"/>
        </w:rPr>
      </w:pPr>
      <w:r w:rsidRPr="00317C60">
        <w:rPr>
          <w:lang w:val="en-GB"/>
        </w:rPr>
        <w:t>conducting investigations into corruption issues that could involve serious or systemic corrupt conduct. These investigations may be undertaken jointly with other Commonwealth agencies or with state or territory agencies</w:t>
      </w:r>
    </w:p>
    <w:p w14:paraId="08F3D37F" w14:textId="77777777" w:rsidR="00317C60" w:rsidRDefault="0099425D" w:rsidP="001028C9">
      <w:pPr>
        <w:pStyle w:val="List1Numbered2"/>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right="521"/>
        <w:rPr>
          <w:lang w:val="en-GB"/>
        </w:rPr>
      </w:pPr>
      <w:r w:rsidRPr="00317C60">
        <w:rPr>
          <w:lang w:val="en-GB"/>
        </w:rPr>
        <w:t>referring allegations of corrupt conduct to other Commonwealth agencies for investigation</w:t>
      </w:r>
    </w:p>
    <w:p w14:paraId="424DAEC5" w14:textId="135A441D" w:rsidR="0099425D" w:rsidRPr="00317C60" w:rsidRDefault="0099425D" w:rsidP="001028C9">
      <w:pPr>
        <w:pStyle w:val="List1Numbered2"/>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right="521"/>
        <w:rPr>
          <w:lang w:val="en-GB"/>
        </w:rPr>
      </w:pPr>
      <w:r w:rsidRPr="00317C60">
        <w:rPr>
          <w:lang w:val="en-GB"/>
        </w:rPr>
        <w:t xml:space="preserve">creating and disseminating information and education to enhance the </w:t>
      </w:r>
      <w:r w:rsidR="00414116" w:rsidRPr="00317C60">
        <w:rPr>
          <w:lang w:val="en-GB"/>
        </w:rPr>
        <w:t>effectiveness</w:t>
      </w:r>
      <w:r w:rsidRPr="00317C60">
        <w:rPr>
          <w:lang w:val="en-GB"/>
        </w:rPr>
        <w:t xml:space="preserve"> and maturity of approaches to corruption prevention and build a strong integrity culture across the public sector.</w:t>
      </w:r>
    </w:p>
    <w:p w14:paraId="50360BD5" w14:textId="7303C0D8" w:rsidR="00450EB4" w:rsidRPr="00450EB4" w:rsidRDefault="00450EB4" w:rsidP="0099425D">
      <w:pPr>
        <w:rPr>
          <w:lang w:val="en-GB"/>
        </w:rPr>
      </w:pPr>
      <w:r w:rsidRPr="00450EB4">
        <w:rPr>
          <w:lang w:val="en-GB"/>
        </w:rPr>
        <w:br w:type="page"/>
      </w:r>
    </w:p>
    <w:p w14:paraId="08259A76" w14:textId="77777777" w:rsidR="002209C8" w:rsidRPr="002209C8" w:rsidRDefault="002209C8" w:rsidP="00434A7D">
      <w:pPr>
        <w:pStyle w:val="Heading2"/>
        <w:spacing w:before="360" w:after="240"/>
        <w:rPr>
          <w:lang w:val="en-GB"/>
        </w:rPr>
      </w:pPr>
      <w:bookmarkStart w:id="44" w:name="_Toc221793666"/>
      <w:bookmarkStart w:id="45" w:name="_Toc221793686"/>
      <w:bookmarkStart w:id="46" w:name="_Toc221801456"/>
      <w:r w:rsidRPr="002209C8">
        <w:rPr>
          <w:lang w:val="en-GB"/>
        </w:rPr>
        <w:lastRenderedPageBreak/>
        <w:t>Detecting corruption</w:t>
      </w:r>
      <w:bookmarkEnd w:id="44"/>
      <w:bookmarkEnd w:id="45"/>
      <w:bookmarkEnd w:id="46"/>
    </w:p>
    <w:p w14:paraId="6CCCC8E6" w14:textId="77777777" w:rsidR="00414116" w:rsidRPr="00414116" w:rsidRDefault="00414116" w:rsidP="00414116">
      <w:pPr>
        <w:rPr>
          <w:lang w:val="en-GB"/>
        </w:rPr>
      </w:pPr>
      <w:r w:rsidRPr="00414116">
        <w:rPr>
          <w:lang w:val="en-GB"/>
        </w:rPr>
        <w:t>The Commission detects corruption through a variety of methods, including:</w:t>
      </w:r>
    </w:p>
    <w:p w14:paraId="07440396" w14:textId="77777777" w:rsidR="00414116" w:rsidRPr="00414116" w:rsidRDefault="00414116" w:rsidP="00414116">
      <w:pPr>
        <w:pStyle w:val="Bullet1"/>
        <w:rPr>
          <w:lang w:val="en-GB"/>
        </w:rPr>
      </w:pPr>
      <w:r w:rsidRPr="00414116">
        <w:rPr>
          <w:lang w:val="en-GB"/>
        </w:rPr>
        <w:t>voluntary referrals made through the Commission’s webform, by phone or by post</w:t>
      </w:r>
    </w:p>
    <w:p w14:paraId="574A57D9" w14:textId="77777777" w:rsidR="00414116" w:rsidRPr="00414116" w:rsidRDefault="00414116" w:rsidP="00414116">
      <w:pPr>
        <w:pStyle w:val="Bullet1"/>
        <w:rPr>
          <w:lang w:val="en-GB"/>
        </w:rPr>
      </w:pPr>
      <w:r w:rsidRPr="00414116">
        <w:rPr>
          <w:lang w:val="en-GB"/>
        </w:rPr>
        <w:t>mandatory referrals from agency heads who become aware of a corruption issue concerning a staff member of their agency which could involve serious or systemic corrupt conduct</w:t>
      </w:r>
    </w:p>
    <w:p w14:paraId="5A190F2D" w14:textId="77777777" w:rsidR="00414116" w:rsidRPr="00414116" w:rsidRDefault="00414116" w:rsidP="00414116">
      <w:pPr>
        <w:pStyle w:val="Bullet1"/>
        <w:rPr>
          <w:lang w:val="en-GB"/>
        </w:rPr>
      </w:pPr>
      <w:r w:rsidRPr="00414116">
        <w:rPr>
          <w:lang w:val="en-GB"/>
        </w:rPr>
        <w:t>information received by the Commission in other ways (including media reports)</w:t>
      </w:r>
    </w:p>
    <w:p w14:paraId="0E68080B" w14:textId="77777777" w:rsidR="00414116" w:rsidRPr="00414116" w:rsidRDefault="00414116" w:rsidP="00414116">
      <w:pPr>
        <w:pStyle w:val="Bullet1"/>
        <w:rPr>
          <w:lang w:val="en-GB"/>
        </w:rPr>
      </w:pPr>
      <w:r w:rsidRPr="00414116">
        <w:rPr>
          <w:lang w:val="en-GB"/>
        </w:rPr>
        <w:t>strategic intelligence and data analysis by the Commission</w:t>
      </w:r>
    </w:p>
    <w:p w14:paraId="4809478A" w14:textId="77777777" w:rsidR="00414116" w:rsidRPr="00414116" w:rsidRDefault="00414116" w:rsidP="00414116">
      <w:pPr>
        <w:pStyle w:val="Bullet1"/>
        <w:rPr>
          <w:lang w:val="en-GB"/>
        </w:rPr>
      </w:pPr>
      <w:r w:rsidRPr="00414116">
        <w:rPr>
          <w:lang w:val="en-GB"/>
        </w:rPr>
        <w:t>information obtained during a Commission investigation that identifies another corruption issue.</w:t>
      </w:r>
    </w:p>
    <w:p w14:paraId="270A6628" w14:textId="77777777" w:rsidR="00414116" w:rsidRPr="00414116" w:rsidRDefault="00414116" w:rsidP="00414116">
      <w:pPr>
        <w:rPr>
          <w:lang w:val="en-GB"/>
        </w:rPr>
      </w:pPr>
      <w:r w:rsidRPr="00414116">
        <w:rPr>
          <w:lang w:val="en-GB"/>
        </w:rPr>
        <w:t>The Commission is developing a monitoring and auditing function to ascertain compliance with mandatory reporting obligations, evaluate the integrity structures and processes of agencies, and identify vulnerabilities and issues related to corruption within these agencies.</w:t>
      </w:r>
    </w:p>
    <w:p w14:paraId="5318D205" w14:textId="77777777" w:rsidR="002209C8" w:rsidRPr="002209C8" w:rsidRDefault="002209C8" w:rsidP="00434A7D">
      <w:pPr>
        <w:pStyle w:val="Heading2"/>
        <w:spacing w:before="360" w:after="240"/>
        <w:rPr>
          <w:lang w:val="en-GB"/>
        </w:rPr>
      </w:pPr>
      <w:bookmarkStart w:id="47" w:name="_Toc221793667"/>
      <w:bookmarkStart w:id="48" w:name="_Toc221793687"/>
      <w:bookmarkStart w:id="49" w:name="_Toc221801457"/>
      <w:r w:rsidRPr="002209C8">
        <w:rPr>
          <w:lang w:val="en-GB"/>
        </w:rPr>
        <w:t>Receiving and assessing referrals</w:t>
      </w:r>
      <w:bookmarkEnd w:id="47"/>
      <w:bookmarkEnd w:id="48"/>
      <w:bookmarkEnd w:id="49"/>
    </w:p>
    <w:p w14:paraId="7168DEC1" w14:textId="77777777" w:rsidR="0081673F" w:rsidRPr="0081673F" w:rsidRDefault="0081673F" w:rsidP="0081673F">
      <w:pPr>
        <w:rPr>
          <w:lang w:val="en-GB"/>
        </w:rPr>
      </w:pPr>
      <w:r w:rsidRPr="0081673F">
        <w:rPr>
          <w:lang w:val="en-GB"/>
        </w:rPr>
        <w:t>The Commission assesses referrals to ascertain whether they are within jurisdiction (that is, they relate to a Commonwealth public official), whether they appear to raise a corruption issue, whether they could involve serious or systemic corrupt conduct, and if so whether and how to deal with them.</w:t>
      </w:r>
    </w:p>
    <w:p w14:paraId="5F368F51" w14:textId="77777777" w:rsidR="0081673F" w:rsidRPr="0081673F" w:rsidRDefault="0081673F" w:rsidP="0081673F">
      <w:pPr>
        <w:rPr>
          <w:lang w:val="en-GB"/>
        </w:rPr>
      </w:pPr>
      <w:r w:rsidRPr="0081673F">
        <w:rPr>
          <w:lang w:val="en-GB"/>
        </w:rPr>
        <w:t>The Commission may seek further information in relation to a referral, including from the person who made the referral. The Commission may also conduct a preliminary investigation to obtain more information and determine if there is a corruption issue and how to deal with the issue.</w:t>
      </w:r>
    </w:p>
    <w:p w14:paraId="4B250458" w14:textId="77777777" w:rsidR="0081673F" w:rsidRPr="0081673F" w:rsidRDefault="0081673F" w:rsidP="0081673F">
      <w:pPr>
        <w:rPr>
          <w:lang w:val="en-GB"/>
        </w:rPr>
      </w:pPr>
      <w:r w:rsidRPr="0081673F">
        <w:rPr>
          <w:lang w:val="en-GB"/>
        </w:rPr>
        <w:lastRenderedPageBreak/>
        <w:t>The Commission can decide not to take any action in relation to a referral. The Commission does not have to consider or respond to every referral it receives. However, as a matter of courtesy, the Commission usually provides a response to each person who makes a referral, if they provide contact details.</w:t>
      </w:r>
    </w:p>
    <w:p w14:paraId="66248FB7" w14:textId="7E352540" w:rsidR="0081673F" w:rsidRPr="0081673F" w:rsidRDefault="00AB7525" w:rsidP="00AB7525">
      <w:pPr>
        <w:rPr>
          <w:lang w:val="en-GB"/>
        </w:rPr>
      </w:pPr>
      <w:r>
        <w:rPr>
          <w:lang w:val="en-GB"/>
        </w:rPr>
        <w:t>I</w:t>
      </w:r>
      <w:r w:rsidR="0081673F" w:rsidRPr="0081673F">
        <w:rPr>
          <w:lang w:val="en-GB"/>
        </w:rPr>
        <w:t>f a referral raises a corruption issue, the Commission may deal with it in one or more of the following ways:</w:t>
      </w:r>
    </w:p>
    <w:p w14:paraId="23AA40F7" w14:textId="77777777" w:rsidR="0081673F" w:rsidRPr="0081673F" w:rsidRDefault="0081673F" w:rsidP="0081673F">
      <w:pPr>
        <w:pStyle w:val="Bullet1"/>
        <w:rPr>
          <w:lang w:val="en-GB"/>
        </w:rPr>
      </w:pPr>
      <w:r w:rsidRPr="0081673F">
        <w:rPr>
          <w:lang w:val="en-GB"/>
        </w:rPr>
        <w:t>if the issue could involve serious or systemic corrupt conduct, investigate the issue alone or jointly with a Commonwealth agency or a state or territory government entity</w:t>
      </w:r>
    </w:p>
    <w:p w14:paraId="558B0345" w14:textId="77777777" w:rsidR="0081673F" w:rsidRPr="0081673F" w:rsidRDefault="0081673F" w:rsidP="0081673F">
      <w:pPr>
        <w:pStyle w:val="Bullet1"/>
        <w:rPr>
          <w:lang w:val="en-GB"/>
        </w:rPr>
      </w:pPr>
      <w:r w:rsidRPr="0081673F">
        <w:rPr>
          <w:lang w:val="en-GB"/>
        </w:rPr>
        <w:t>refer the issue to the Commonwealth agency the issue relates to for them to investigate</w:t>
      </w:r>
    </w:p>
    <w:p w14:paraId="5109491B" w14:textId="77777777" w:rsidR="0081673F" w:rsidRPr="0081673F" w:rsidRDefault="0081673F" w:rsidP="0081673F">
      <w:pPr>
        <w:pStyle w:val="Bullet1"/>
        <w:rPr>
          <w:lang w:val="en-GB"/>
        </w:rPr>
      </w:pPr>
      <w:r w:rsidRPr="0081673F">
        <w:rPr>
          <w:lang w:val="en-GB"/>
        </w:rPr>
        <w:t>refer the issue to a Commonwealth agency or state or territory government entity for them to consider</w:t>
      </w:r>
    </w:p>
    <w:p w14:paraId="6C465EE2" w14:textId="77777777" w:rsidR="0081673F" w:rsidRPr="0081673F" w:rsidRDefault="0081673F" w:rsidP="0081673F">
      <w:pPr>
        <w:pStyle w:val="Bullet1"/>
        <w:rPr>
          <w:lang w:val="en-GB"/>
        </w:rPr>
      </w:pPr>
      <w:r w:rsidRPr="0081673F">
        <w:rPr>
          <w:lang w:val="en-GB"/>
        </w:rPr>
        <w:t>take no action.</w:t>
      </w:r>
    </w:p>
    <w:p w14:paraId="62B2E847" w14:textId="77777777" w:rsidR="0081673F" w:rsidRPr="0081673F" w:rsidRDefault="0081673F" w:rsidP="0081673F">
      <w:pPr>
        <w:rPr>
          <w:lang w:val="en-GB"/>
        </w:rPr>
      </w:pPr>
      <w:r w:rsidRPr="0081673F">
        <w:rPr>
          <w:lang w:val="en-GB"/>
        </w:rPr>
        <w:t>The Commissioner may, at any time, reconsider whether or how to deal with a corruption issue.</w:t>
      </w:r>
    </w:p>
    <w:p w14:paraId="1FE6B0E2" w14:textId="77777777" w:rsidR="0081673F" w:rsidRPr="0081673F" w:rsidRDefault="0081673F" w:rsidP="00AB7525">
      <w:pPr>
        <w:pStyle w:val="Heading3"/>
        <w:spacing w:before="360" w:after="240"/>
        <w:rPr>
          <w:lang w:val="en-GB"/>
        </w:rPr>
      </w:pPr>
      <w:r w:rsidRPr="0081673F">
        <w:rPr>
          <w:lang w:val="en-GB"/>
        </w:rPr>
        <w:t>Preliminary investigations</w:t>
      </w:r>
    </w:p>
    <w:p w14:paraId="701C7F2D" w14:textId="77777777" w:rsidR="0081673F" w:rsidRPr="0081673F" w:rsidRDefault="0081673F" w:rsidP="0081673F">
      <w:pPr>
        <w:rPr>
          <w:lang w:val="en-GB"/>
        </w:rPr>
      </w:pPr>
      <w:r w:rsidRPr="0081673F">
        <w:rPr>
          <w:lang w:val="en-GB"/>
        </w:rPr>
        <w:t>The Commissioner may conduct a preliminary investigation to decide:</w:t>
      </w:r>
    </w:p>
    <w:p w14:paraId="1047E094" w14:textId="77777777" w:rsidR="0081673F" w:rsidRPr="0081673F" w:rsidRDefault="0081673F" w:rsidP="0081673F">
      <w:pPr>
        <w:pStyle w:val="Bullet1"/>
        <w:rPr>
          <w:lang w:val="en-GB"/>
        </w:rPr>
      </w:pPr>
      <w:r w:rsidRPr="0081673F">
        <w:rPr>
          <w:lang w:val="en-GB"/>
        </w:rPr>
        <w:t>whether a referral raises a corruption issue, including whether it is serious or systemic</w:t>
      </w:r>
    </w:p>
    <w:p w14:paraId="307F51BA" w14:textId="77777777" w:rsidR="0081673F" w:rsidRPr="0081673F" w:rsidRDefault="0081673F" w:rsidP="0081673F">
      <w:pPr>
        <w:pStyle w:val="Bullet1"/>
        <w:rPr>
          <w:lang w:val="en-GB"/>
        </w:rPr>
      </w:pPr>
      <w:r w:rsidRPr="0081673F">
        <w:rPr>
          <w:lang w:val="en-GB"/>
        </w:rPr>
        <w:t>if so, whether or how to deal with the issue.</w:t>
      </w:r>
    </w:p>
    <w:p w14:paraId="64213326" w14:textId="4A0EDEED" w:rsidR="0081673F" w:rsidRDefault="0081673F" w:rsidP="0081673F">
      <w:pPr>
        <w:rPr>
          <w:lang w:val="en-GB"/>
        </w:rPr>
      </w:pPr>
      <w:r w:rsidRPr="0081673F">
        <w:rPr>
          <w:lang w:val="en-GB"/>
        </w:rPr>
        <w:t>A preliminary investigation helps the Commission find out more information about the referral as part of the assessment process. The Commission can use some of its investigatory powers under the NACC</w:t>
      </w:r>
      <w:r w:rsidR="00AB7525">
        <w:rPr>
          <w:lang w:val="en-GB"/>
        </w:rPr>
        <w:t xml:space="preserve"> </w:t>
      </w:r>
      <w:r w:rsidRPr="0081673F">
        <w:rPr>
          <w:lang w:val="en-GB"/>
        </w:rPr>
        <w:t xml:space="preserve">Act in a preliminary </w:t>
      </w:r>
      <w:r w:rsidRPr="0081673F">
        <w:rPr>
          <w:lang w:val="en-GB"/>
        </w:rPr>
        <w:lastRenderedPageBreak/>
        <w:t>investigation, such as compelling persons to provide information, documents or materials.</w:t>
      </w:r>
    </w:p>
    <w:p w14:paraId="110E5780" w14:textId="7AD54E13" w:rsidR="002209C8" w:rsidRPr="002209C8" w:rsidRDefault="002209C8" w:rsidP="00434A7D">
      <w:pPr>
        <w:pStyle w:val="Heading2"/>
        <w:spacing w:before="360" w:after="240"/>
        <w:rPr>
          <w:lang w:val="en-GB"/>
        </w:rPr>
      </w:pPr>
      <w:bookmarkStart w:id="50" w:name="_Toc221793668"/>
      <w:bookmarkStart w:id="51" w:name="_Toc221793688"/>
      <w:bookmarkStart w:id="52" w:name="_Toc221801458"/>
      <w:r w:rsidRPr="002209C8">
        <w:rPr>
          <w:lang w:val="en-GB"/>
        </w:rPr>
        <w:t>Conducting investigations</w:t>
      </w:r>
      <w:bookmarkEnd w:id="50"/>
      <w:bookmarkEnd w:id="51"/>
      <w:bookmarkEnd w:id="52"/>
    </w:p>
    <w:p w14:paraId="2CD9B5C9" w14:textId="77777777" w:rsidR="0081673F" w:rsidRPr="0081673F" w:rsidRDefault="0081673F" w:rsidP="0081673F">
      <w:pPr>
        <w:rPr>
          <w:lang w:val="en-GB"/>
        </w:rPr>
      </w:pPr>
      <w:r w:rsidRPr="0081673F">
        <w:rPr>
          <w:lang w:val="en-GB"/>
        </w:rPr>
        <w:t>The Commission’s investigation teams investigate corruption issues and gather information to prove or disprove them. They do this by obtaining documents and records, analysing information and interviewing witnesses.</w:t>
      </w:r>
    </w:p>
    <w:p w14:paraId="371FAE2C" w14:textId="69E0EE57" w:rsidR="0081673F" w:rsidRPr="0081673F" w:rsidRDefault="0081673F" w:rsidP="0081673F">
      <w:pPr>
        <w:rPr>
          <w:lang w:val="en-GB"/>
        </w:rPr>
      </w:pPr>
      <w:r w:rsidRPr="0081673F">
        <w:rPr>
          <w:lang w:val="en-GB"/>
        </w:rPr>
        <w:t>The Commission has extensive information-gathering powers under the NACC</w:t>
      </w:r>
      <w:r w:rsidR="00AB7525">
        <w:rPr>
          <w:lang w:val="en-GB"/>
        </w:rPr>
        <w:t xml:space="preserve"> </w:t>
      </w:r>
      <w:r w:rsidRPr="0081673F">
        <w:rPr>
          <w:lang w:val="en-GB"/>
        </w:rPr>
        <w:t>Act and other relevant legislation. For example, the Commission can:</w:t>
      </w:r>
    </w:p>
    <w:p w14:paraId="556992C4" w14:textId="1464B895" w:rsidR="0081673F" w:rsidRPr="0081673F" w:rsidRDefault="0081673F" w:rsidP="0081673F">
      <w:pPr>
        <w:pStyle w:val="Bullet1"/>
        <w:rPr>
          <w:lang w:val="en-GB"/>
        </w:rPr>
      </w:pPr>
      <w:r w:rsidRPr="0081673F">
        <w:rPr>
          <w:lang w:val="en-GB"/>
        </w:rPr>
        <w:t>compel the production of documents or</w:t>
      </w:r>
      <w:r w:rsidR="00AB7525">
        <w:rPr>
          <w:lang w:val="en-GB"/>
        </w:rPr>
        <w:t xml:space="preserve"> </w:t>
      </w:r>
      <w:r w:rsidRPr="0081673F">
        <w:rPr>
          <w:lang w:val="en-GB"/>
        </w:rPr>
        <w:t>other things</w:t>
      </w:r>
    </w:p>
    <w:p w14:paraId="4E305FAA" w14:textId="77777777" w:rsidR="0081673F" w:rsidRPr="0081673F" w:rsidRDefault="0081673F" w:rsidP="0081673F">
      <w:pPr>
        <w:pStyle w:val="Bullet1"/>
        <w:rPr>
          <w:lang w:val="en-GB"/>
        </w:rPr>
      </w:pPr>
      <w:r w:rsidRPr="0081673F">
        <w:rPr>
          <w:lang w:val="en-GB"/>
        </w:rPr>
        <w:t>compel individuals to provide information, which could involve participation in a hearing</w:t>
      </w:r>
    </w:p>
    <w:p w14:paraId="30D2DD44" w14:textId="577AA2D4" w:rsidR="0081673F" w:rsidRPr="0081673F" w:rsidRDefault="0081673F" w:rsidP="0081673F">
      <w:pPr>
        <w:pStyle w:val="Bullet1"/>
        <w:rPr>
          <w:lang w:val="en-GB"/>
        </w:rPr>
      </w:pPr>
      <w:r w:rsidRPr="0081673F">
        <w:rPr>
          <w:lang w:val="en-GB"/>
        </w:rPr>
        <w:t>obtain search warrants and warrants to</w:t>
      </w:r>
      <w:r w:rsidR="00AB7525">
        <w:rPr>
          <w:lang w:val="en-GB"/>
        </w:rPr>
        <w:t xml:space="preserve"> </w:t>
      </w:r>
      <w:r w:rsidRPr="0081673F">
        <w:rPr>
          <w:lang w:val="en-GB"/>
        </w:rPr>
        <w:t>intercept telecommunications and use</w:t>
      </w:r>
      <w:r w:rsidR="00AB7525">
        <w:rPr>
          <w:lang w:val="en-GB"/>
        </w:rPr>
        <w:t xml:space="preserve"> </w:t>
      </w:r>
      <w:r w:rsidRPr="0081673F">
        <w:rPr>
          <w:lang w:val="en-GB"/>
        </w:rPr>
        <w:t>surveillance devices.</w:t>
      </w:r>
    </w:p>
    <w:p w14:paraId="247F51BF" w14:textId="77777777" w:rsidR="0081673F" w:rsidRPr="0081673F" w:rsidRDefault="0081673F" w:rsidP="00AB7525">
      <w:pPr>
        <w:pStyle w:val="Heading3"/>
        <w:spacing w:before="360" w:after="240"/>
        <w:rPr>
          <w:lang w:val="en-GB"/>
        </w:rPr>
      </w:pPr>
      <w:r w:rsidRPr="0081673F">
        <w:rPr>
          <w:lang w:val="en-GB"/>
        </w:rPr>
        <w:t>Commission hearings</w:t>
      </w:r>
    </w:p>
    <w:p w14:paraId="436FD046" w14:textId="77777777" w:rsidR="0081673F" w:rsidRPr="0081673F" w:rsidRDefault="0081673F" w:rsidP="0081673F">
      <w:pPr>
        <w:rPr>
          <w:lang w:val="en-GB"/>
        </w:rPr>
      </w:pPr>
      <w:r w:rsidRPr="0081673F">
        <w:rPr>
          <w:lang w:val="en-GB"/>
        </w:rPr>
        <w:t>Under the NACC Act, the Commissioner has the power to summon a person to attend a hearing to give evidence or produce a document or other thing relevant to a corruption investigation.</w:t>
      </w:r>
    </w:p>
    <w:p w14:paraId="3395D6A3" w14:textId="79E7C16D" w:rsidR="0081673F" w:rsidRPr="0081673F" w:rsidRDefault="0081673F" w:rsidP="0081673F">
      <w:pPr>
        <w:rPr>
          <w:lang w:val="en-GB"/>
        </w:rPr>
      </w:pPr>
      <w:r w:rsidRPr="0081673F">
        <w:rPr>
          <w:lang w:val="en-GB"/>
        </w:rPr>
        <w:t>Hearings must be held in private, except in exceptional circumstances. Whether exceptional circumstances exist is decided on</w:t>
      </w:r>
      <w:r w:rsidR="00AB7525">
        <w:rPr>
          <w:lang w:val="en-GB"/>
        </w:rPr>
        <w:t xml:space="preserve"> </w:t>
      </w:r>
      <w:r w:rsidRPr="0081673F">
        <w:rPr>
          <w:lang w:val="en-GB"/>
        </w:rPr>
        <w:t>a</w:t>
      </w:r>
      <w:r w:rsidR="00AB7525">
        <w:rPr>
          <w:lang w:val="en-GB"/>
        </w:rPr>
        <w:t xml:space="preserve"> </w:t>
      </w:r>
      <w:r w:rsidRPr="0081673F">
        <w:rPr>
          <w:lang w:val="en-GB"/>
        </w:rPr>
        <w:t>case</w:t>
      </w:r>
      <w:r w:rsidRPr="0081673F">
        <w:rPr>
          <w:lang w:val="en-GB"/>
        </w:rPr>
        <w:noBreakHyphen/>
        <w:t>by</w:t>
      </w:r>
      <w:r w:rsidRPr="0081673F">
        <w:rPr>
          <w:lang w:val="en-GB"/>
        </w:rPr>
        <w:noBreakHyphen/>
        <w:t>case basis.</w:t>
      </w:r>
    </w:p>
    <w:p w14:paraId="1657F074" w14:textId="77777777" w:rsidR="0081673F" w:rsidRPr="0081673F" w:rsidRDefault="0081673F" w:rsidP="00AB7525">
      <w:pPr>
        <w:pStyle w:val="Heading3"/>
        <w:spacing w:before="360" w:after="240"/>
        <w:rPr>
          <w:lang w:val="en-GB"/>
        </w:rPr>
      </w:pPr>
      <w:r w:rsidRPr="0081673F">
        <w:rPr>
          <w:lang w:val="en-GB"/>
        </w:rPr>
        <w:t>Finalising an investigation</w:t>
      </w:r>
    </w:p>
    <w:p w14:paraId="46B03F53" w14:textId="77777777" w:rsidR="0081673F" w:rsidRPr="0081673F" w:rsidRDefault="0081673F" w:rsidP="0081673F">
      <w:pPr>
        <w:rPr>
          <w:lang w:val="en-GB"/>
        </w:rPr>
      </w:pPr>
      <w:r w:rsidRPr="0081673F">
        <w:rPr>
          <w:lang w:val="en-GB"/>
        </w:rPr>
        <w:t>The Commissioner can decide at any time during an investigation that no further action should be taken and discontinue the investigation.</w:t>
      </w:r>
    </w:p>
    <w:p w14:paraId="727A1AEE" w14:textId="77777777" w:rsidR="0081673F" w:rsidRPr="0081673F" w:rsidRDefault="0081673F" w:rsidP="0081673F">
      <w:pPr>
        <w:rPr>
          <w:lang w:val="en-GB"/>
        </w:rPr>
      </w:pPr>
      <w:r w:rsidRPr="0081673F">
        <w:rPr>
          <w:lang w:val="en-GB"/>
        </w:rPr>
        <w:t xml:space="preserve">At the completion of an investigation, the Commissioner must prepare a report on the investigation for the Attorney-General (unless the </w:t>
      </w:r>
      <w:r w:rsidRPr="0081673F">
        <w:rPr>
          <w:lang w:val="en-GB"/>
        </w:rPr>
        <w:lastRenderedPageBreak/>
        <w:t>investigation is about the Attorney-General, in which case the report would be made to the Prime Minister).</w:t>
      </w:r>
    </w:p>
    <w:p w14:paraId="51681D1D" w14:textId="77777777" w:rsidR="0081673F" w:rsidRPr="0081673F" w:rsidRDefault="0081673F" w:rsidP="0081673F">
      <w:pPr>
        <w:rPr>
          <w:lang w:val="en-GB"/>
        </w:rPr>
      </w:pPr>
      <w:r w:rsidRPr="0081673F">
        <w:rPr>
          <w:lang w:val="en-GB"/>
        </w:rPr>
        <w:t>The report must set out:</w:t>
      </w:r>
    </w:p>
    <w:p w14:paraId="2231B6BB" w14:textId="77777777" w:rsidR="0081673F" w:rsidRPr="0081673F" w:rsidRDefault="0081673F" w:rsidP="003F196C">
      <w:pPr>
        <w:pStyle w:val="Bullet1"/>
        <w:rPr>
          <w:lang w:val="en-GB"/>
        </w:rPr>
      </w:pPr>
      <w:r w:rsidRPr="0081673F">
        <w:rPr>
          <w:lang w:val="en-GB"/>
        </w:rPr>
        <w:t>the Commissioner’s findings or opinions on the corruption issue. This can include a finding that a person has engaged in corrupt conduct. This is an administrative finding of fact, and not a finding of criminal guilt.</w:t>
      </w:r>
    </w:p>
    <w:p w14:paraId="683BEB90" w14:textId="77777777" w:rsidR="0081673F" w:rsidRPr="0081673F" w:rsidRDefault="0081673F" w:rsidP="003F196C">
      <w:pPr>
        <w:pStyle w:val="Bullet1"/>
        <w:rPr>
          <w:lang w:val="en-GB"/>
        </w:rPr>
      </w:pPr>
      <w:r w:rsidRPr="0081673F">
        <w:rPr>
          <w:lang w:val="en-GB"/>
        </w:rPr>
        <w:t>a summary of the evidence and other material on which those findings or opinions are based.</w:t>
      </w:r>
    </w:p>
    <w:p w14:paraId="5DC8E607" w14:textId="77777777" w:rsidR="0081673F" w:rsidRPr="0081673F" w:rsidRDefault="0081673F" w:rsidP="003F196C">
      <w:pPr>
        <w:pStyle w:val="Bullet1"/>
        <w:rPr>
          <w:lang w:val="en-GB"/>
        </w:rPr>
      </w:pPr>
      <w:r w:rsidRPr="0081673F">
        <w:rPr>
          <w:lang w:val="en-GB"/>
        </w:rPr>
        <w:t>any recommendations the Commissioner sees fit to make and the reasons for those recommendations. If the Commission finds evidence of a criminal offence, it may send a brief of evidence to the Commonwealth Director of Public Prosecutions for them to consider whether there is sufficient evidence for charges to be laid.</w:t>
      </w:r>
    </w:p>
    <w:p w14:paraId="7F2D77E6" w14:textId="77777777" w:rsidR="0081673F" w:rsidRPr="0081673F" w:rsidRDefault="0081673F" w:rsidP="0081673F">
      <w:pPr>
        <w:rPr>
          <w:lang w:val="en-GB"/>
        </w:rPr>
      </w:pPr>
      <w:r w:rsidRPr="0081673F">
        <w:rPr>
          <w:lang w:val="en-GB"/>
        </w:rPr>
        <w:t>If the Commission has held a public hearing, it must table the report in Parliament. The Commission can publish reports if satisfied it is in the public interest to do so.</w:t>
      </w:r>
    </w:p>
    <w:p w14:paraId="0E5DBF33" w14:textId="77777777" w:rsidR="0081673F" w:rsidRPr="0081673F" w:rsidRDefault="0081673F" w:rsidP="00AB7525">
      <w:pPr>
        <w:pStyle w:val="Heading3"/>
        <w:spacing w:before="360" w:after="240"/>
        <w:rPr>
          <w:lang w:val="en-GB"/>
        </w:rPr>
      </w:pPr>
      <w:r w:rsidRPr="0081673F">
        <w:rPr>
          <w:lang w:val="en-GB"/>
        </w:rPr>
        <w:t>Joint investigations</w:t>
      </w:r>
    </w:p>
    <w:p w14:paraId="3D7CB8C1" w14:textId="77777777" w:rsidR="0081673F" w:rsidRPr="0081673F" w:rsidRDefault="0081673F" w:rsidP="0081673F">
      <w:pPr>
        <w:rPr>
          <w:lang w:val="en-GB"/>
        </w:rPr>
      </w:pPr>
      <w:r w:rsidRPr="0081673F">
        <w:rPr>
          <w:lang w:val="en-GB"/>
        </w:rPr>
        <w:t>The Commission may investigate corruption issues jointly with another Commonwealth or state government agency, for example if the investigation would benefit from the specialist knowledge of the other agency and the special powers of the Commission.</w:t>
      </w:r>
    </w:p>
    <w:p w14:paraId="3796E25A" w14:textId="77777777" w:rsidR="003F196C" w:rsidRDefault="003F196C" w:rsidP="00AB7525">
      <w:pPr>
        <w:pStyle w:val="Heading2"/>
        <w:spacing w:before="360" w:after="240"/>
        <w:rPr>
          <w:lang w:val="en-GB"/>
        </w:rPr>
      </w:pPr>
      <w:bookmarkStart w:id="53" w:name="_Toc221801459"/>
      <w:r w:rsidRPr="003F196C">
        <w:rPr>
          <w:lang w:val="en-GB"/>
        </w:rPr>
        <w:t>Referring corruption issues to other Commonwealth agencies for investigation</w:t>
      </w:r>
      <w:bookmarkEnd w:id="53"/>
    </w:p>
    <w:p w14:paraId="51F29DAA" w14:textId="77777777" w:rsidR="003F196C" w:rsidRPr="003F196C" w:rsidRDefault="003F196C" w:rsidP="003F196C">
      <w:pPr>
        <w:rPr>
          <w:lang w:val="en-GB"/>
        </w:rPr>
      </w:pPr>
      <w:r w:rsidRPr="003F196C">
        <w:rPr>
          <w:lang w:val="en-GB"/>
        </w:rPr>
        <w:t xml:space="preserve">The Commissioner may deal with a corruption issue by referring the corruption issue to the agency the issue relates to, if satisfied the agency has the capability to investigate the issue. The Commissioner can decide to </w:t>
      </w:r>
      <w:r w:rsidRPr="003F196C">
        <w:rPr>
          <w:lang w:val="en-GB"/>
        </w:rPr>
        <w:lastRenderedPageBreak/>
        <w:t xml:space="preserve">oversee or manage the agency’s </w:t>
      </w:r>
      <w:proofErr w:type="gramStart"/>
      <w:r w:rsidRPr="003F196C">
        <w:rPr>
          <w:lang w:val="en-GB"/>
        </w:rPr>
        <w:t>investigation, or</w:t>
      </w:r>
      <w:proofErr w:type="gramEnd"/>
      <w:r w:rsidRPr="003F196C">
        <w:rPr>
          <w:lang w:val="en-GB"/>
        </w:rPr>
        <w:t xml:space="preserve"> leave the agency to conduct the investigation independently.</w:t>
      </w:r>
    </w:p>
    <w:p w14:paraId="63975195" w14:textId="77777777" w:rsidR="003F196C" w:rsidRPr="003F196C" w:rsidRDefault="003F196C" w:rsidP="003F196C">
      <w:pPr>
        <w:rPr>
          <w:lang w:val="en-GB"/>
        </w:rPr>
      </w:pPr>
      <w:r w:rsidRPr="003F196C">
        <w:rPr>
          <w:lang w:val="en-GB"/>
        </w:rPr>
        <w:t>The agency may be required to provide periodical reports and/or a final report to the Commissioner.</w:t>
      </w:r>
    </w:p>
    <w:p w14:paraId="7C6B1A89" w14:textId="3F219E44" w:rsidR="003F196C" w:rsidRDefault="003F196C" w:rsidP="003F196C">
      <w:pPr>
        <w:rPr>
          <w:lang w:val="en-GB"/>
        </w:rPr>
      </w:pPr>
      <w:r w:rsidRPr="003F196C">
        <w:rPr>
          <w:lang w:val="en-GB"/>
        </w:rPr>
        <w:t>The Commissioner may make comments or recommendations on the investigation, its outcome and/or preventive measures that have been or could be put in place to address ongoing corruption risks and vulnerabilities.</w:t>
      </w:r>
    </w:p>
    <w:p w14:paraId="153EC3F9" w14:textId="2BC9EBE2" w:rsidR="002209C8" w:rsidRPr="002209C8" w:rsidRDefault="002209C8" w:rsidP="00434A7D">
      <w:pPr>
        <w:pStyle w:val="Heading2"/>
        <w:spacing w:before="360" w:after="240"/>
        <w:rPr>
          <w:lang w:val="en-GB"/>
        </w:rPr>
      </w:pPr>
      <w:bookmarkStart w:id="54" w:name="_Toc221793669"/>
      <w:bookmarkStart w:id="55" w:name="_Toc221793689"/>
      <w:bookmarkStart w:id="56" w:name="_Toc221801460"/>
      <w:r w:rsidRPr="002209C8">
        <w:rPr>
          <w:lang w:val="en-GB"/>
        </w:rPr>
        <w:t>Creating and disseminating corruption prevention information and education</w:t>
      </w:r>
      <w:bookmarkEnd w:id="54"/>
      <w:bookmarkEnd w:id="55"/>
      <w:bookmarkEnd w:id="56"/>
    </w:p>
    <w:p w14:paraId="0450294F" w14:textId="77777777" w:rsidR="003F196C" w:rsidRPr="003F196C" w:rsidRDefault="003F196C" w:rsidP="003F196C">
      <w:pPr>
        <w:rPr>
          <w:lang w:val="en-GB"/>
        </w:rPr>
      </w:pPr>
      <w:r w:rsidRPr="003F196C">
        <w:rPr>
          <w:lang w:val="en-GB"/>
        </w:rPr>
        <w:t>The Commission educates public officials, the public sector and the public about corruption risks and vulnerabilities to enhance corruption prevention strategies and to build a strong integrity culture. The purpose of these activities is to build resistance to corrupt conduct, encourage people to report it, and create a culture in which corruption is not tolerated.</w:t>
      </w:r>
    </w:p>
    <w:p w14:paraId="124D5BFF" w14:textId="77777777" w:rsidR="003F196C" w:rsidRPr="003F196C" w:rsidRDefault="003F196C" w:rsidP="003F196C">
      <w:pPr>
        <w:rPr>
          <w:lang w:val="en-GB"/>
        </w:rPr>
      </w:pPr>
      <w:r w:rsidRPr="003F196C">
        <w:rPr>
          <w:lang w:val="en-GB"/>
        </w:rPr>
        <w:t>The Commission provides guidance to public officials who are mandatory reporters about their obligations to report suspected serious or systemic corrupt conduct concerning staff of their agencies, and how they can do so.</w:t>
      </w:r>
    </w:p>
    <w:p w14:paraId="3CCF0421" w14:textId="77777777" w:rsidR="003F196C" w:rsidRPr="003F196C" w:rsidRDefault="003F196C" w:rsidP="003F196C">
      <w:pPr>
        <w:rPr>
          <w:lang w:val="en-GB"/>
        </w:rPr>
      </w:pPr>
      <w:r w:rsidRPr="003F196C">
        <w:rPr>
          <w:lang w:val="en-GB"/>
        </w:rPr>
        <w:t>The Commission provides guidance and information to help public officials understand the importance of integrity in governance, and to address vulnerabilities to corruption within their agencies.</w:t>
      </w:r>
    </w:p>
    <w:p w14:paraId="6CDE2C32" w14:textId="77777777" w:rsidR="003F196C" w:rsidRPr="003F196C" w:rsidRDefault="003F196C" w:rsidP="003F196C">
      <w:pPr>
        <w:rPr>
          <w:lang w:val="en-GB"/>
        </w:rPr>
      </w:pPr>
      <w:r w:rsidRPr="003F196C">
        <w:rPr>
          <w:lang w:val="en-GB"/>
        </w:rPr>
        <w:t>The Commission takes opportunities to speak at conferences and other events to explain and promote the role of the Commission and corruption risks and vulnerabilities to a wider audience, including members of the business community and the public.</w:t>
      </w:r>
    </w:p>
    <w:p w14:paraId="22525B93" w14:textId="05B46FF9" w:rsidR="003F196C" w:rsidRPr="003F196C" w:rsidRDefault="003F196C" w:rsidP="003F196C">
      <w:pPr>
        <w:rPr>
          <w:lang w:val="en-GB"/>
        </w:rPr>
      </w:pPr>
      <w:r w:rsidRPr="003F196C">
        <w:rPr>
          <w:lang w:val="en-GB"/>
        </w:rPr>
        <w:t>It also publishes corruption</w:t>
      </w:r>
      <w:r w:rsidR="00AB7525">
        <w:rPr>
          <w:lang w:val="en-GB"/>
        </w:rPr>
        <w:t xml:space="preserve"> </w:t>
      </w:r>
      <w:r w:rsidRPr="003F196C">
        <w:rPr>
          <w:lang w:val="en-GB"/>
        </w:rPr>
        <w:t>prevention resources on its website to</w:t>
      </w:r>
      <w:r w:rsidR="00AB7525">
        <w:rPr>
          <w:lang w:val="en-GB"/>
        </w:rPr>
        <w:t xml:space="preserve"> </w:t>
      </w:r>
      <w:r w:rsidRPr="003F196C">
        <w:rPr>
          <w:lang w:val="en-GB"/>
        </w:rPr>
        <w:t>build public understanding.</w:t>
      </w:r>
    </w:p>
    <w:p w14:paraId="4C8FCEF9" w14:textId="77777777" w:rsidR="003F196C" w:rsidRPr="003F196C" w:rsidRDefault="003F196C" w:rsidP="003F196C">
      <w:pPr>
        <w:rPr>
          <w:lang w:val="en-GB"/>
        </w:rPr>
      </w:pPr>
      <w:r w:rsidRPr="003F196C">
        <w:rPr>
          <w:lang w:val="en-GB"/>
        </w:rPr>
        <w:lastRenderedPageBreak/>
        <w:t>To provide transparency and operate as a deterrent to corrupt conduct, the Commission publishes regular updates and statistics about its activities.</w:t>
      </w:r>
    </w:p>
    <w:p w14:paraId="2AC49D61" w14:textId="2B1F51DE" w:rsidR="002209C8" w:rsidRPr="002209C8" w:rsidRDefault="003F196C" w:rsidP="0093685F">
      <w:pPr>
        <w:rPr>
          <w:lang w:val="en-GB"/>
        </w:rPr>
      </w:pPr>
      <w:r w:rsidRPr="003F196C">
        <w:rPr>
          <w:lang w:val="en-GB"/>
        </w:rPr>
        <w:t>The Commission can conduct public inquiries into corruption risks and vulnerabilities, and measures to prevent corruption in Commonwealth agencies and programs.</w:t>
      </w:r>
      <w:r w:rsidR="002209C8" w:rsidRPr="002209C8">
        <w:br w:type="page"/>
      </w:r>
    </w:p>
    <w:p w14:paraId="53D657B2" w14:textId="77777777" w:rsidR="002209C8" w:rsidRPr="002209C8" w:rsidRDefault="002209C8" w:rsidP="00122655">
      <w:pPr>
        <w:pStyle w:val="Heading1"/>
        <w:rPr>
          <w:lang w:val="en-GB"/>
        </w:rPr>
      </w:pPr>
      <w:bookmarkStart w:id="57" w:name="_Toc221793670"/>
      <w:bookmarkStart w:id="58" w:name="_Toc221793690"/>
      <w:bookmarkStart w:id="59" w:name="_Toc221801461"/>
      <w:r w:rsidRPr="002209C8">
        <w:rPr>
          <w:lang w:val="en-GB"/>
        </w:rPr>
        <w:lastRenderedPageBreak/>
        <w:t>Operating context</w:t>
      </w:r>
      <w:bookmarkEnd w:id="57"/>
      <w:bookmarkEnd w:id="58"/>
      <w:bookmarkEnd w:id="59"/>
    </w:p>
    <w:p w14:paraId="60EF301D" w14:textId="77777777" w:rsidR="002209C8" w:rsidRPr="002209C8" w:rsidRDefault="002209C8" w:rsidP="00434A7D">
      <w:pPr>
        <w:pStyle w:val="Heading2"/>
        <w:spacing w:before="360" w:after="240"/>
        <w:rPr>
          <w:lang w:val="en-GB"/>
        </w:rPr>
      </w:pPr>
      <w:bookmarkStart w:id="60" w:name="_Toc221793671"/>
      <w:bookmarkStart w:id="61" w:name="_Toc221793691"/>
      <w:bookmarkStart w:id="62" w:name="_Toc221801462"/>
      <w:r w:rsidRPr="002209C8">
        <w:rPr>
          <w:lang w:val="en-GB"/>
        </w:rPr>
        <w:t>Operating environment</w:t>
      </w:r>
      <w:bookmarkEnd w:id="60"/>
      <w:bookmarkEnd w:id="61"/>
      <w:bookmarkEnd w:id="62"/>
    </w:p>
    <w:p w14:paraId="58457A47" w14:textId="77777777" w:rsidR="003F196C" w:rsidRPr="003F196C" w:rsidRDefault="003F196C" w:rsidP="003F196C">
      <w:pPr>
        <w:rPr>
          <w:lang w:val="en-GB"/>
        </w:rPr>
      </w:pPr>
      <w:r w:rsidRPr="003F196C">
        <w:rPr>
          <w:lang w:val="en-GB"/>
        </w:rPr>
        <w:t>The Commission continues to operate under high public scrutiny and expectation.</w:t>
      </w:r>
    </w:p>
    <w:p w14:paraId="7C70E32F" w14:textId="77777777" w:rsidR="003F196C" w:rsidRPr="003F196C" w:rsidRDefault="003F196C" w:rsidP="003F196C">
      <w:pPr>
        <w:rPr>
          <w:lang w:val="en-GB"/>
        </w:rPr>
      </w:pPr>
      <w:r w:rsidRPr="003F196C">
        <w:rPr>
          <w:lang w:val="en-GB"/>
        </w:rPr>
        <w:t>The Commission works with other Commonwealth agencies to detect and prevent corruption, while also independently assessing and investigating corruption issues that involve those agencies.</w:t>
      </w:r>
    </w:p>
    <w:p w14:paraId="11C889C6" w14:textId="7A215CF0" w:rsidR="003F196C" w:rsidRPr="003F196C" w:rsidRDefault="003F196C" w:rsidP="003F196C">
      <w:pPr>
        <w:rPr>
          <w:lang w:val="en-GB"/>
        </w:rPr>
      </w:pPr>
      <w:r w:rsidRPr="003F196C">
        <w:rPr>
          <w:lang w:val="en-GB"/>
        </w:rPr>
        <w:t>The Commission recognises the importance of exposing corrupt conduct and building public awareness of how corruption can be detected and prevented. It is also conscious that its work should be subject to public scrutiny and that it needs to operate with as much transparency</w:t>
      </w:r>
      <w:r w:rsidR="00AB7525">
        <w:rPr>
          <w:lang w:val="en-GB"/>
        </w:rPr>
        <w:t xml:space="preserve"> </w:t>
      </w:r>
      <w:r w:rsidRPr="003F196C">
        <w:rPr>
          <w:lang w:val="en-GB"/>
        </w:rPr>
        <w:t>as</w:t>
      </w:r>
      <w:r w:rsidR="00AB7525">
        <w:rPr>
          <w:lang w:val="en-GB"/>
        </w:rPr>
        <w:t xml:space="preserve"> </w:t>
      </w:r>
      <w:r w:rsidRPr="003F196C">
        <w:rPr>
          <w:lang w:val="en-GB"/>
        </w:rPr>
        <w:t>it can.</w:t>
      </w:r>
    </w:p>
    <w:p w14:paraId="555A229B" w14:textId="77777777" w:rsidR="003F196C" w:rsidRPr="003F196C" w:rsidRDefault="003F196C" w:rsidP="003F196C">
      <w:pPr>
        <w:rPr>
          <w:lang w:val="en-GB"/>
        </w:rPr>
      </w:pPr>
      <w:r w:rsidRPr="003F196C">
        <w:rPr>
          <w:lang w:val="en-GB"/>
        </w:rPr>
        <w:t>However, much of the Commission’s work is necessarily confidential and there are constraints on what can permissibly or properly be done openly. In accordance with the governing legislation, the Commission will conduct public hearings when the circumstances and the public interest justify an exception to the general rule that they be held in private.</w:t>
      </w:r>
    </w:p>
    <w:p w14:paraId="7DEE7E8E" w14:textId="6AAC997D" w:rsidR="003F196C" w:rsidRPr="003F196C" w:rsidRDefault="003F196C" w:rsidP="00AB7525">
      <w:pPr>
        <w:pStyle w:val="Heading3"/>
        <w:spacing w:before="360" w:after="240"/>
        <w:rPr>
          <w:lang w:val="en-GB"/>
        </w:rPr>
      </w:pPr>
      <w:r w:rsidRPr="003F196C">
        <w:rPr>
          <w:lang w:val="en-GB"/>
        </w:rPr>
        <w:t>Environmental scanning and</w:t>
      </w:r>
      <w:r w:rsidR="00AB7525">
        <w:rPr>
          <w:lang w:val="en-GB"/>
        </w:rPr>
        <w:t xml:space="preserve"> </w:t>
      </w:r>
      <w:r w:rsidRPr="003F196C">
        <w:rPr>
          <w:lang w:val="en-GB"/>
        </w:rPr>
        <w:t>intelligence gathering</w:t>
      </w:r>
    </w:p>
    <w:p w14:paraId="4179FD28" w14:textId="77777777" w:rsidR="003F196C" w:rsidRPr="003F196C" w:rsidRDefault="003F196C" w:rsidP="003F196C">
      <w:pPr>
        <w:rPr>
          <w:lang w:val="en-GB"/>
        </w:rPr>
      </w:pPr>
      <w:r w:rsidRPr="003F196C">
        <w:rPr>
          <w:lang w:val="en-GB"/>
        </w:rPr>
        <w:t>The Commission monitors the integrity landscape and shares insights and analysis with other agencies to enhance their awareness of corruption issues. Referrals received by the Commission are one way in which it identifies trends in the nature and level of corruption within the Commonwealth of Australia.</w:t>
      </w:r>
    </w:p>
    <w:p w14:paraId="75808E9E" w14:textId="77777777" w:rsidR="003F196C" w:rsidRPr="003F196C" w:rsidRDefault="003F196C" w:rsidP="00AB7525">
      <w:pPr>
        <w:pStyle w:val="Heading3"/>
        <w:spacing w:before="360" w:after="240"/>
        <w:rPr>
          <w:lang w:val="en-GB"/>
        </w:rPr>
      </w:pPr>
      <w:r w:rsidRPr="003F196C">
        <w:rPr>
          <w:lang w:val="en-GB"/>
        </w:rPr>
        <w:t>Strategic corruption priorities</w:t>
      </w:r>
    </w:p>
    <w:p w14:paraId="5FEC2D6C" w14:textId="77777777" w:rsidR="003F196C" w:rsidRPr="003F196C" w:rsidRDefault="003F196C" w:rsidP="003F196C">
      <w:pPr>
        <w:rPr>
          <w:lang w:val="en-GB"/>
        </w:rPr>
      </w:pPr>
      <w:r w:rsidRPr="003F196C">
        <w:rPr>
          <w:lang w:val="en-GB"/>
        </w:rPr>
        <w:t>To assist in prioritising its resources effectively and efficiently, the Commission has adopted 6 strategic corruption priorities, depicted in Figure 1.</w:t>
      </w:r>
    </w:p>
    <w:p w14:paraId="029762FA" w14:textId="77777777" w:rsidR="003F196C" w:rsidRPr="003F196C" w:rsidRDefault="003F196C" w:rsidP="003F196C">
      <w:pPr>
        <w:rPr>
          <w:lang w:val="en-GB"/>
        </w:rPr>
      </w:pPr>
      <w:r w:rsidRPr="003F196C">
        <w:rPr>
          <w:lang w:val="en-GB"/>
        </w:rPr>
        <w:lastRenderedPageBreak/>
        <w:t>These priorities assist in focussing the Commission’s investigative functions and provide direction to its prevention and detection activities.</w:t>
      </w:r>
    </w:p>
    <w:p w14:paraId="04BCC307" w14:textId="77777777" w:rsidR="003F196C" w:rsidRPr="003F196C" w:rsidRDefault="003F196C" w:rsidP="003F196C">
      <w:pPr>
        <w:rPr>
          <w:lang w:val="en-GB"/>
        </w:rPr>
      </w:pPr>
      <w:r w:rsidRPr="003F196C">
        <w:rPr>
          <w:lang w:val="en-GB"/>
        </w:rPr>
        <w:t>The current strategic corruption priorities are:</w:t>
      </w:r>
    </w:p>
    <w:p w14:paraId="58928B7B" w14:textId="77777777" w:rsidR="003F196C" w:rsidRPr="003F196C" w:rsidRDefault="003F196C" w:rsidP="003F196C">
      <w:pPr>
        <w:pStyle w:val="Bullet1"/>
        <w:rPr>
          <w:lang w:val="en-GB"/>
        </w:rPr>
      </w:pPr>
      <w:r w:rsidRPr="003F196C">
        <w:rPr>
          <w:lang w:val="en-GB"/>
        </w:rPr>
        <w:t>corruption at the Australian border</w:t>
      </w:r>
    </w:p>
    <w:p w14:paraId="08FDD767" w14:textId="77777777" w:rsidR="003F196C" w:rsidRPr="003F196C" w:rsidRDefault="003F196C" w:rsidP="003F196C">
      <w:pPr>
        <w:pStyle w:val="Bullet1"/>
        <w:rPr>
          <w:lang w:val="en-GB"/>
        </w:rPr>
      </w:pPr>
      <w:r w:rsidRPr="003F196C">
        <w:rPr>
          <w:lang w:val="en-GB"/>
        </w:rPr>
        <w:t>corruption in complex procurements</w:t>
      </w:r>
    </w:p>
    <w:p w14:paraId="0D3D39ED" w14:textId="4FFB6036" w:rsidR="003F196C" w:rsidRPr="003F196C" w:rsidRDefault="003F196C" w:rsidP="003F196C">
      <w:pPr>
        <w:pStyle w:val="Bullet1"/>
        <w:rPr>
          <w:lang w:val="en-GB"/>
        </w:rPr>
      </w:pPr>
      <w:r w:rsidRPr="003F196C">
        <w:rPr>
          <w:lang w:val="en-GB"/>
        </w:rPr>
        <w:t>corruption in senior public official decision</w:t>
      </w:r>
      <w:r w:rsidR="00353575">
        <w:rPr>
          <w:lang w:val="en-GB"/>
        </w:rPr>
        <w:t>-</w:t>
      </w:r>
      <w:r w:rsidRPr="003F196C">
        <w:rPr>
          <w:lang w:val="en-GB"/>
        </w:rPr>
        <w:t>making</w:t>
      </w:r>
    </w:p>
    <w:p w14:paraId="00E3F2B9" w14:textId="77777777" w:rsidR="003F196C" w:rsidRPr="003F196C" w:rsidRDefault="003F196C" w:rsidP="003F196C">
      <w:pPr>
        <w:pStyle w:val="Bullet1"/>
        <w:rPr>
          <w:lang w:val="en-GB"/>
        </w:rPr>
      </w:pPr>
      <w:r w:rsidRPr="003F196C">
        <w:rPr>
          <w:lang w:val="en-GB"/>
        </w:rPr>
        <w:t>corruption involving contractors and consultants</w:t>
      </w:r>
    </w:p>
    <w:p w14:paraId="43E34A78" w14:textId="77777777" w:rsidR="003F196C" w:rsidRPr="003F196C" w:rsidRDefault="003F196C" w:rsidP="003F196C">
      <w:pPr>
        <w:pStyle w:val="Bullet1"/>
        <w:rPr>
          <w:lang w:val="en-GB"/>
        </w:rPr>
      </w:pPr>
      <w:r w:rsidRPr="003F196C">
        <w:rPr>
          <w:lang w:val="en-GB"/>
        </w:rPr>
        <w:t>corruption affecting the environmental sector</w:t>
      </w:r>
    </w:p>
    <w:p w14:paraId="01ACBE55" w14:textId="77777777" w:rsidR="003F196C" w:rsidRPr="003F196C" w:rsidRDefault="003F196C" w:rsidP="003F196C">
      <w:pPr>
        <w:pStyle w:val="Bullet1"/>
        <w:rPr>
          <w:lang w:val="en-GB"/>
        </w:rPr>
      </w:pPr>
      <w:r w:rsidRPr="003F196C">
        <w:rPr>
          <w:lang w:val="en-GB"/>
        </w:rPr>
        <w:t>corruption affecting vulnerable people.</w:t>
      </w:r>
    </w:p>
    <w:p w14:paraId="5B0E6E90" w14:textId="77777777" w:rsidR="003F196C" w:rsidRPr="003F196C" w:rsidRDefault="003F196C" w:rsidP="003F196C">
      <w:pPr>
        <w:rPr>
          <w:lang w:val="en-GB"/>
        </w:rPr>
      </w:pPr>
      <w:r w:rsidRPr="003F196C">
        <w:rPr>
          <w:lang w:val="en-GB"/>
        </w:rPr>
        <w:t>The Commission reviews these priorities each year to consider how its work is engaging with these issues and whether the priorities need to be adjusted in response to changes in the broader integrity environment.</w:t>
      </w:r>
    </w:p>
    <w:p w14:paraId="55A67921" w14:textId="77777777" w:rsidR="002209C8" w:rsidRPr="00E90EA6" w:rsidRDefault="002209C8" w:rsidP="00E90EA6">
      <w:pPr>
        <w:pStyle w:val="Heading4"/>
        <w:rPr>
          <w:b w:val="0"/>
          <w:bCs/>
        </w:rPr>
      </w:pPr>
      <w:r w:rsidRPr="00353575">
        <w:rPr>
          <w:color w:val="1B598C" w:themeColor="text1"/>
        </w:rPr>
        <w:t xml:space="preserve">Figure 1: </w:t>
      </w:r>
      <w:r w:rsidRPr="00E90EA6">
        <w:rPr>
          <w:b w:val="0"/>
          <w:bCs/>
        </w:rPr>
        <w:t>Strategic corruption priorities</w:t>
      </w:r>
    </w:p>
    <w:p w14:paraId="6E81D282" w14:textId="77777777" w:rsidR="002209C8" w:rsidRPr="002209C8" w:rsidRDefault="002209C8" w:rsidP="002209C8">
      <w:pPr>
        <w:rPr>
          <w:lang w:val="en-GB"/>
        </w:rPr>
      </w:pPr>
      <w:r w:rsidRPr="002209C8">
        <w:rPr>
          <w:noProof/>
          <w:lang w:val="en-GB"/>
        </w:rPr>
        <w:drawing>
          <wp:inline distT="0" distB="0" distL="0" distR="0" wp14:anchorId="606C0AC9" wp14:editId="744DAB2C">
            <wp:extent cx="3454400" cy="3454400"/>
            <wp:effectExtent l="0" t="0" r="0" b="0"/>
            <wp:docPr id="1186638759" name="Picture 1" descr="A circular diagram showing 'Strategic corruption priorities' in the middle, which splits into 6 sections: 1. Complex procurements. 2. Senior public official decision-making. 3. Contractors and consultants. 4. The environmental sector. 5. Corruption affecting vulnerable people. 6. The Australia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38759" name="Picture 1" descr="A circular diagram showing 'Strategic corruption priorities' in the middle, which splits into 6 sections: 1. Complex procurements. 2. Senior public official decision-making. 3. Contractors and consultants. 4. The environmental sector. 5. Corruption affecting vulnerable people. 6. The Australian bord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54885" cy="3454885"/>
                    </a:xfrm>
                    <a:prstGeom prst="rect">
                      <a:avLst/>
                    </a:prstGeom>
                  </pic:spPr>
                </pic:pic>
              </a:graphicData>
            </a:graphic>
          </wp:inline>
        </w:drawing>
      </w:r>
    </w:p>
    <w:p w14:paraId="512F3242" w14:textId="77777777" w:rsidR="00D101F7" w:rsidRPr="00D101F7" w:rsidRDefault="00D101F7" w:rsidP="00AB7525">
      <w:pPr>
        <w:pStyle w:val="Heading3"/>
        <w:spacing w:before="360" w:after="240"/>
        <w:rPr>
          <w:lang w:val="en-GB"/>
        </w:rPr>
      </w:pPr>
      <w:r w:rsidRPr="00D101F7">
        <w:rPr>
          <w:lang w:val="en-GB"/>
        </w:rPr>
        <w:lastRenderedPageBreak/>
        <w:t>Corruption prevention priorities</w:t>
      </w:r>
    </w:p>
    <w:p w14:paraId="1AA7FF7F" w14:textId="7D9F0E77" w:rsidR="00D101F7" w:rsidRPr="00D101F7" w:rsidRDefault="00D101F7" w:rsidP="00D101F7">
      <w:pPr>
        <w:rPr>
          <w:lang w:val="en-GB"/>
        </w:rPr>
      </w:pPr>
      <w:r w:rsidRPr="00D101F7">
        <w:rPr>
          <w:lang w:val="en-GB"/>
        </w:rPr>
        <w:t>The Commission has so far identified 3</w:t>
      </w:r>
      <w:r w:rsidR="00AB7525">
        <w:rPr>
          <w:lang w:val="en-GB"/>
        </w:rPr>
        <w:t xml:space="preserve"> </w:t>
      </w:r>
      <w:r w:rsidRPr="00D101F7">
        <w:rPr>
          <w:lang w:val="en-GB"/>
        </w:rPr>
        <w:t>dominant domains in which both perception and actuality of corrupt conduct is apparent. These are procurement, recruitment and the public-private interface. In all 3 domains, the mechanisms include the preferring of family, friends and associates (nepotism and cronyism); and the misuse of official information to gain an advantage.</w:t>
      </w:r>
    </w:p>
    <w:p w14:paraId="3A0165BB" w14:textId="77777777" w:rsidR="00D101F7" w:rsidRPr="00D101F7" w:rsidRDefault="00D101F7" w:rsidP="00D101F7">
      <w:pPr>
        <w:rPr>
          <w:lang w:val="en-GB"/>
        </w:rPr>
      </w:pPr>
      <w:r w:rsidRPr="00D101F7">
        <w:rPr>
          <w:lang w:val="en-GB"/>
        </w:rPr>
        <w:t>The Commission has determined priority workstreams to facilitate corruption prevention outcomes. These are:</w:t>
      </w:r>
    </w:p>
    <w:p w14:paraId="62A8926B" w14:textId="0C37BB47" w:rsidR="00D101F7" w:rsidRPr="00353575" w:rsidRDefault="00D101F7" w:rsidP="00353575">
      <w:pPr>
        <w:pStyle w:val="List1Numbered1"/>
        <w:numPr>
          <w:ilvl w:val="0"/>
          <w:numId w:val="15"/>
        </w:numPr>
      </w:pPr>
      <w:r w:rsidRPr="00353575">
        <w:t>the publication of guidance on ethical</w:t>
      </w:r>
      <w:r w:rsidR="00AB7525" w:rsidRPr="00353575">
        <w:t xml:space="preserve"> </w:t>
      </w:r>
      <w:r w:rsidRPr="00353575">
        <w:t>decision-making</w:t>
      </w:r>
    </w:p>
    <w:p w14:paraId="78060AC1" w14:textId="77777777" w:rsidR="00D101F7" w:rsidRPr="00353575" w:rsidRDefault="00D101F7" w:rsidP="00353575">
      <w:pPr>
        <w:pStyle w:val="List1Numbered1"/>
      </w:pPr>
      <w:r w:rsidRPr="00353575">
        <w:t>risks that arise at the public-private interface, where government uses the private sector to provide or deliver services</w:t>
      </w:r>
    </w:p>
    <w:p w14:paraId="1AD77FEF" w14:textId="77777777" w:rsidR="00D101F7" w:rsidRPr="00353575" w:rsidRDefault="00D101F7" w:rsidP="00353575">
      <w:pPr>
        <w:pStyle w:val="List1Numbered1"/>
      </w:pPr>
      <w:r w:rsidRPr="00353575">
        <w:t>delivery of the Australian Public Sector Anti</w:t>
      </w:r>
      <w:r w:rsidRPr="00353575">
        <w:noBreakHyphen/>
        <w:t>Corruption Conference 2026.</w:t>
      </w:r>
    </w:p>
    <w:p w14:paraId="5853A401" w14:textId="77777777" w:rsidR="00D101F7" w:rsidRPr="00D101F7" w:rsidRDefault="00D101F7" w:rsidP="00AB7525">
      <w:pPr>
        <w:pStyle w:val="Heading3"/>
        <w:spacing w:before="360" w:after="240"/>
        <w:rPr>
          <w:lang w:val="en-GB"/>
        </w:rPr>
      </w:pPr>
      <w:r w:rsidRPr="00D101F7">
        <w:rPr>
          <w:lang w:val="en-GB"/>
        </w:rPr>
        <w:t>Oversight</w:t>
      </w:r>
    </w:p>
    <w:p w14:paraId="1BC78C56" w14:textId="77777777" w:rsidR="00D101F7" w:rsidRPr="00D101F7" w:rsidRDefault="00D101F7" w:rsidP="00D101F7">
      <w:pPr>
        <w:rPr>
          <w:lang w:val="en-GB"/>
        </w:rPr>
      </w:pPr>
      <w:r w:rsidRPr="00D101F7">
        <w:rPr>
          <w:lang w:val="en-GB"/>
        </w:rPr>
        <w:t>The Commission is overseen by the Parliamentary Joint Committee on the National Anti-Corruption Commission (PJC-NACC) and the Inspector of the National Anti-Corruption Commission (the Inspector).</w:t>
      </w:r>
    </w:p>
    <w:p w14:paraId="515F8E24" w14:textId="77777777" w:rsidR="00D101F7" w:rsidRPr="00D101F7" w:rsidRDefault="00D101F7" w:rsidP="00AB7525">
      <w:pPr>
        <w:pStyle w:val="Heading3"/>
        <w:spacing w:before="360" w:after="240"/>
        <w:rPr>
          <w:lang w:val="en-GB"/>
        </w:rPr>
      </w:pPr>
      <w:r w:rsidRPr="00D101F7">
        <w:rPr>
          <w:lang w:val="en-GB"/>
        </w:rPr>
        <w:t>PJC-NACC</w:t>
      </w:r>
    </w:p>
    <w:p w14:paraId="59DCDF2E" w14:textId="77777777" w:rsidR="00D101F7" w:rsidRPr="00D101F7" w:rsidRDefault="00D101F7" w:rsidP="00D101F7">
      <w:pPr>
        <w:rPr>
          <w:lang w:val="en-GB"/>
        </w:rPr>
      </w:pPr>
      <w:r w:rsidRPr="00D101F7">
        <w:rPr>
          <w:lang w:val="en-GB"/>
        </w:rPr>
        <w:t>Section 177 of the NACC Act sets out the functions of the PJC</w:t>
      </w:r>
      <w:r w:rsidRPr="00D101F7">
        <w:rPr>
          <w:lang w:val="en-GB"/>
        </w:rPr>
        <w:noBreakHyphen/>
        <w:t>NACC, which include:</w:t>
      </w:r>
    </w:p>
    <w:p w14:paraId="096ADB54" w14:textId="77777777" w:rsidR="00D101F7" w:rsidRPr="00D101F7" w:rsidRDefault="00D101F7" w:rsidP="00D101F7">
      <w:pPr>
        <w:pStyle w:val="Bullet1"/>
        <w:rPr>
          <w:lang w:val="en-GB"/>
        </w:rPr>
      </w:pPr>
      <w:r w:rsidRPr="00D101F7">
        <w:rPr>
          <w:lang w:val="en-GB"/>
        </w:rPr>
        <w:t>considering recommendations for certain appointments</w:t>
      </w:r>
    </w:p>
    <w:p w14:paraId="636CE368" w14:textId="77777777" w:rsidR="00D101F7" w:rsidRPr="00D101F7" w:rsidRDefault="00D101F7" w:rsidP="00D101F7">
      <w:pPr>
        <w:pStyle w:val="Bullet1"/>
        <w:rPr>
          <w:lang w:val="en-GB"/>
        </w:rPr>
      </w:pPr>
      <w:r w:rsidRPr="00D101F7">
        <w:rPr>
          <w:lang w:val="en-GB"/>
        </w:rPr>
        <w:t>examining reports tabled in Parliament relating to the Commission and the Inspector</w:t>
      </w:r>
    </w:p>
    <w:p w14:paraId="635CE7F8" w14:textId="77777777" w:rsidR="00D101F7" w:rsidRPr="00D101F7" w:rsidRDefault="00D101F7" w:rsidP="00D101F7">
      <w:pPr>
        <w:pStyle w:val="Bullet1"/>
        <w:rPr>
          <w:lang w:val="en-GB"/>
        </w:rPr>
      </w:pPr>
      <w:r w:rsidRPr="00D101F7">
        <w:rPr>
          <w:lang w:val="en-GB"/>
        </w:rPr>
        <w:lastRenderedPageBreak/>
        <w:t>examining trends and changes in corruption, and reporting to Parliament on desirable changes to the functions, powers, procedures, structure and staffing of the Commission or Inspector</w:t>
      </w:r>
    </w:p>
    <w:p w14:paraId="7E3BF11A" w14:textId="77777777" w:rsidR="00D101F7" w:rsidRPr="00D101F7" w:rsidRDefault="00D101F7" w:rsidP="00D101F7">
      <w:pPr>
        <w:pStyle w:val="Bullet1"/>
        <w:rPr>
          <w:lang w:val="en-GB"/>
        </w:rPr>
      </w:pPr>
      <w:r w:rsidRPr="00D101F7">
        <w:rPr>
          <w:lang w:val="en-GB"/>
        </w:rPr>
        <w:t>reviewing the sufficiency of the Commission’s budget and finances and reporting on the outcome of that review.</w:t>
      </w:r>
    </w:p>
    <w:p w14:paraId="5C9D74BF" w14:textId="77777777" w:rsidR="00D101F7" w:rsidRPr="00D101F7" w:rsidRDefault="00D101F7" w:rsidP="00D101F7">
      <w:pPr>
        <w:rPr>
          <w:lang w:val="en-GB"/>
        </w:rPr>
      </w:pPr>
      <w:r w:rsidRPr="00D101F7">
        <w:rPr>
          <w:lang w:val="en-GB"/>
        </w:rPr>
        <w:t>The PJC</w:t>
      </w:r>
      <w:r w:rsidRPr="00D101F7">
        <w:rPr>
          <w:lang w:val="en-GB"/>
        </w:rPr>
        <w:noBreakHyphen/>
        <w:t>NACC cannot review operational decisions, methods or activities.</w:t>
      </w:r>
    </w:p>
    <w:p w14:paraId="1F94986F" w14:textId="77777777" w:rsidR="00D101F7" w:rsidRPr="00D101F7" w:rsidRDefault="00D101F7" w:rsidP="00AB7525">
      <w:pPr>
        <w:pStyle w:val="Heading3"/>
        <w:spacing w:before="360" w:after="240"/>
        <w:rPr>
          <w:lang w:val="en-GB"/>
        </w:rPr>
      </w:pPr>
      <w:r w:rsidRPr="00D101F7">
        <w:rPr>
          <w:lang w:val="en-GB"/>
        </w:rPr>
        <w:t>The Inspector</w:t>
      </w:r>
    </w:p>
    <w:p w14:paraId="22A89405" w14:textId="77777777" w:rsidR="00D101F7" w:rsidRPr="00D101F7" w:rsidRDefault="00D101F7" w:rsidP="00D101F7">
      <w:pPr>
        <w:rPr>
          <w:lang w:val="en-GB"/>
        </w:rPr>
      </w:pPr>
      <w:r w:rsidRPr="00D101F7">
        <w:rPr>
          <w:lang w:val="en-GB"/>
        </w:rPr>
        <w:t>The Inspector is an independent officer of the Parliament. The Inspector’s functions</w:t>
      </w:r>
      <w:r w:rsidRPr="00353575">
        <w:rPr>
          <w:rStyle w:val="FootnoteReference"/>
        </w:rPr>
        <w:footnoteReference w:id="2"/>
      </w:r>
      <w:r w:rsidRPr="00D101F7">
        <w:rPr>
          <w:lang w:val="en-GB"/>
        </w:rPr>
        <w:t xml:space="preserve"> include to:</w:t>
      </w:r>
    </w:p>
    <w:p w14:paraId="38435869" w14:textId="77777777" w:rsidR="00D101F7" w:rsidRPr="00D101F7" w:rsidRDefault="00D101F7" w:rsidP="00D101F7">
      <w:pPr>
        <w:pStyle w:val="Bullet1"/>
        <w:rPr>
          <w:lang w:val="en-GB"/>
        </w:rPr>
      </w:pPr>
      <w:r w:rsidRPr="00D101F7">
        <w:rPr>
          <w:lang w:val="en-GB"/>
        </w:rPr>
        <w:t>investigate allegations of serious or systemic corrupt conduct within the Commission</w:t>
      </w:r>
    </w:p>
    <w:p w14:paraId="0AA390C2" w14:textId="77777777" w:rsidR="00D101F7" w:rsidRPr="00D101F7" w:rsidRDefault="00D101F7" w:rsidP="00D101F7">
      <w:pPr>
        <w:pStyle w:val="Bullet1"/>
        <w:rPr>
          <w:lang w:val="en-GB"/>
        </w:rPr>
      </w:pPr>
      <w:r w:rsidRPr="00D101F7">
        <w:rPr>
          <w:lang w:val="en-GB"/>
        </w:rPr>
        <w:t>investigate complaints of maladministration about the Commission</w:t>
      </w:r>
    </w:p>
    <w:p w14:paraId="3FF5296F" w14:textId="77777777" w:rsidR="00D101F7" w:rsidRPr="00D101F7" w:rsidRDefault="00D101F7" w:rsidP="00D101F7">
      <w:pPr>
        <w:pStyle w:val="Bullet1"/>
        <w:rPr>
          <w:lang w:val="en-GB"/>
        </w:rPr>
      </w:pPr>
      <w:r w:rsidRPr="00D101F7">
        <w:rPr>
          <w:lang w:val="en-GB"/>
        </w:rPr>
        <w:t>audit the operations of the Commission to monitor its compliance with Commonwealth laws and detect agency maladministration and officer misconduct.</w:t>
      </w:r>
    </w:p>
    <w:p w14:paraId="3B4361B0" w14:textId="77777777" w:rsidR="00D101F7" w:rsidRPr="00D101F7" w:rsidRDefault="00D101F7" w:rsidP="00D101F7">
      <w:pPr>
        <w:rPr>
          <w:lang w:val="en-GB"/>
        </w:rPr>
      </w:pPr>
      <w:r w:rsidRPr="00D101F7">
        <w:rPr>
          <w:lang w:val="en-GB"/>
        </w:rPr>
        <w:t>The Inspector can conduct joint investigations with the Commissioner, and with the Australian Federal Police (AFP) or a police service of a state or territory.</w:t>
      </w:r>
    </w:p>
    <w:p w14:paraId="23077907" w14:textId="77777777" w:rsidR="00D101F7" w:rsidRPr="00D101F7" w:rsidRDefault="00D101F7" w:rsidP="00AB7525">
      <w:pPr>
        <w:pStyle w:val="Heading3"/>
        <w:spacing w:before="360" w:after="240"/>
        <w:rPr>
          <w:lang w:val="en-GB"/>
        </w:rPr>
      </w:pPr>
      <w:r w:rsidRPr="00D101F7">
        <w:rPr>
          <w:lang w:val="en-GB"/>
        </w:rPr>
        <w:t xml:space="preserve">Commonwealth </w:t>
      </w:r>
      <w:r w:rsidRPr="00D101F7">
        <w:t>Ombudsman</w:t>
      </w:r>
    </w:p>
    <w:p w14:paraId="70BABE15" w14:textId="2D9F9BF8" w:rsidR="00D101F7" w:rsidRPr="00D101F7" w:rsidRDefault="00D101F7" w:rsidP="00D101F7">
      <w:pPr>
        <w:rPr>
          <w:lang w:val="en-GB"/>
        </w:rPr>
      </w:pPr>
      <w:r w:rsidRPr="00D101F7">
        <w:rPr>
          <w:lang w:val="en-GB"/>
        </w:rPr>
        <w:t xml:space="preserve">In addition to the </w:t>
      </w:r>
      <w:proofErr w:type="gramStart"/>
      <w:r w:rsidRPr="00D101F7">
        <w:rPr>
          <w:lang w:val="en-GB"/>
        </w:rPr>
        <w:t>above mentioned</w:t>
      </w:r>
      <w:proofErr w:type="gramEnd"/>
      <w:r w:rsidRPr="00D101F7">
        <w:rPr>
          <w:lang w:val="en-GB"/>
        </w:rPr>
        <w:t xml:space="preserve"> oversight bodies, the Commission’s use of intrusive powers is subject to regular inspection by the Office of the Commonwealth Ombudsman. This</w:t>
      </w:r>
      <w:r w:rsidR="00AB7525">
        <w:rPr>
          <w:lang w:val="en-GB"/>
        </w:rPr>
        <w:t xml:space="preserve"> </w:t>
      </w:r>
      <w:r w:rsidRPr="00D101F7">
        <w:rPr>
          <w:lang w:val="en-GB"/>
        </w:rPr>
        <w:t>covers the Commission’s use of:</w:t>
      </w:r>
    </w:p>
    <w:p w14:paraId="471B22D7" w14:textId="77777777" w:rsidR="00D101F7" w:rsidRPr="00D101F7" w:rsidRDefault="00D101F7" w:rsidP="00D101F7">
      <w:pPr>
        <w:pStyle w:val="Bullet1"/>
        <w:rPr>
          <w:lang w:val="en-GB"/>
        </w:rPr>
      </w:pPr>
      <w:r w:rsidRPr="00D101F7">
        <w:rPr>
          <w:lang w:val="en-GB"/>
        </w:rPr>
        <w:lastRenderedPageBreak/>
        <w:t xml:space="preserve">telecommunications interception, telecommunications data, stored communications and international production orders (under the </w:t>
      </w:r>
      <w:r w:rsidRPr="00D101F7">
        <w:rPr>
          <w:i/>
          <w:iCs/>
          <w:lang w:val="en-GB"/>
        </w:rPr>
        <w:t>Telecommunications (Interception and Access Act) 1979</w:t>
      </w:r>
      <w:r w:rsidRPr="00D101F7">
        <w:rPr>
          <w:lang w:val="en-GB"/>
        </w:rPr>
        <w:t>)</w:t>
      </w:r>
    </w:p>
    <w:p w14:paraId="77146BA4" w14:textId="77777777" w:rsidR="00D101F7" w:rsidRPr="00D101F7" w:rsidRDefault="00D101F7" w:rsidP="00D101F7">
      <w:pPr>
        <w:pStyle w:val="Bullet1"/>
        <w:rPr>
          <w:lang w:val="en-GB"/>
        </w:rPr>
      </w:pPr>
      <w:r w:rsidRPr="00D101F7">
        <w:rPr>
          <w:lang w:val="en-GB"/>
        </w:rPr>
        <w:t xml:space="preserve">controlled operations (under Part 1AB of the </w:t>
      </w:r>
      <w:r w:rsidRPr="00D101F7">
        <w:rPr>
          <w:i/>
          <w:iCs/>
          <w:lang w:val="en-GB"/>
        </w:rPr>
        <w:t>Crimes Act 1914</w:t>
      </w:r>
      <w:r w:rsidRPr="00D101F7">
        <w:rPr>
          <w:lang w:val="en-GB"/>
        </w:rPr>
        <w:t>)</w:t>
      </w:r>
    </w:p>
    <w:p w14:paraId="6572751A" w14:textId="34205CEC" w:rsidR="00D101F7" w:rsidRPr="00D101F7" w:rsidRDefault="00D101F7" w:rsidP="00D101F7">
      <w:pPr>
        <w:pStyle w:val="Bullet1"/>
        <w:rPr>
          <w:lang w:val="en-GB"/>
        </w:rPr>
      </w:pPr>
      <w:r w:rsidRPr="00D101F7">
        <w:rPr>
          <w:lang w:val="en-GB"/>
        </w:rPr>
        <w:t xml:space="preserve">surveillance devices and computer access warrants (under </w:t>
      </w:r>
      <w:r w:rsidRPr="00D101F7">
        <w:rPr>
          <w:i/>
          <w:iCs/>
          <w:lang w:val="en-GB"/>
        </w:rPr>
        <w:t>the Surveillance Devices Act</w:t>
      </w:r>
      <w:r w:rsidR="00AB7525">
        <w:rPr>
          <w:i/>
          <w:iCs/>
          <w:lang w:val="en-GB"/>
        </w:rPr>
        <w:t xml:space="preserve"> </w:t>
      </w:r>
      <w:r w:rsidRPr="00D101F7">
        <w:rPr>
          <w:i/>
          <w:iCs/>
          <w:lang w:val="en-GB"/>
        </w:rPr>
        <w:t>2004</w:t>
      </w:r>
      <w:r w:rsidRPr="00D101F7">
        <w:rPr>
          <w:lang w:val="en-GB"/>
        </w:rPr>
        <w:t>).</w:t>
      </w:r>
    </w:p>
    <w:p w14:paraId="73035077" w14:textId="77777777" w:rsidR="00D101F7" w:rsidRPr="00D101F7" w:rsidRDefault="00D101F7" w:rsidP="00D101F7">
      <w:pPr>
        <w:rPr>
          <w:lang w:val="en-GB"/>
        </w:rPr>
      </w:pPr>
      <w:r w:rsidRPr="00D101F7">
        <w:rPr>
          <w:lang w:val="en-GB"/>
        </w:rPr>
        <w:t>The Commonwealth Ombudsman also conducts regular health checks of the Commission’s compliance culture.</w:t>
      </w:r>
    </w:p>
    <w:p w14:paraId="6132E641" w14:textId="77777777" w:rsidR="00D101F7" w:rsidRPr="00D101F7" w:rsidRDefault="00D101F7" w:rsidP="00D101F7">
      <w:pPr>
        <w:rPr>
          <w:lang w:val="en-GB"/>
        </w:rPr>
      </w:pPr>
      <w:r w:rsidRPr="00D101F7">
        <w:rPr>
          <w:lang w:val="en-GB"/>
        </w:rPr>
        <w:t>The Commission is also required to report annually to the Minister for Home Affairs on the use of the powers listed above. After the cessation of each surveillance device or telecommunications interception and access warrant, the Commission also provides the Minister for Home Affairs with reports on each warrant obtained and its usefulness.</w:t>
      </w:r>
    </w:p>
    <w:p w14:paraId="78B843B8" w14:textId="1705C885" w:rsidR="00D101F7" w:rsidRPr="00D101F7" w:rsidRDefault="00D101F7" w:rsidP="00D101F7">
      <w:pPr>
        <w:rPr>
          <w:lang w:val="en-GB"/>
        </w:rPr>
      </w:pPr>
      <w:r w:rsidRPr="00D101F7">
        <w:rPr>
          <w:lang w:val="en-GB"/>
        </w:rPr>
        <w:t>As a Commonwealth entity, the</w:t>
      </w:r>
      <w:r w:rsidR="00AB7525">
        <w:rPr>
          <w:lang w:val="en-GB"/>
        </w:rPr>
        <w:t xml:space="preserve"> </w:t>
      </w:r>
      <w:r w:rsidRPr="00D101F7">
        <w:rPr>
          <w:lang w:val="en-GB"/>
        </w:rPr>
        <w:t>Commission is within the jurisdiction of the Auditor</w:t>
      </w:r>
      <w:r w:rsidRPr="00D101F7">
        <w:rPr>
          <w:lang w:val="en-GB"/>
        </w:rPr>
        <w:noBreakHyphen/>
        <w:t>General, and the Australian National Audit Office provides annual auditing of the Commission’s financial statements.</w:t>
      </w:r>
    </w:p>
    <w:p w14:paraId="500AF090" w14:textId="77777777" w:rsidR="00D101F7" w:rsidRPr="00D101F7" w:rsidRDefault="00D101F7" w:rsidP="00AB7525">
      <w:pPr>
        <w:pStyle w:val="Heading3"/>
        <w:spacing w:before="360" w:after="240"/>
        <w:rPr>
          <w:lang w:val="en-GB"/>
        </w:rPr>
      </w:pPr>
      <w:r w:rsidRPr="00D101F7">
        <w:rPr>
          <w:lang w:val="en-GB"/>
        </w:rPr>
        <w:t>Integrity partners</w:t>
      </w:r>
    </w:p>
    <w:p w14:paraId="4EBBB4EE" w14:textId="77777777" w:rsidR="00D101F7" w:rsidRPr="00D101F7" w:rsidRDefault="00D101F7" w:rsidP="00D101F7">
      <w:pPr>
        <w:rPr>
          <w:lang w:val="en-GB"/>
        </w:rPr>
      </w:pPr>
      <w:r w:rsidRPr="00D101F7">
        <w:rPr>
          <w:lang w:val="en-GB"/>
        </w:rPr>
        <w:t>The Commission is committed to taking a leading role in promoting integrity in governance. It does this by:</w:t>
      </w:r>
    </w:p>
    <w:p w14:paraId="1218E887" w14:textId="77777777" w:rsidR="00D101F7" w:rsidRPr="00D101F7" w:rsidRDefault="00D101F7" w:rsidP="00D101F7">
      <w:pPr>
        <w:pStyle w:val="Bullet1"/>
        <w:rPr>
          <w:lang w:val="en-GB"/>
        </w:rPr>
      </w:pPr>
      <w:r w:rsidRPr="00D101F7">
        <w:rPr>
          <w:lang w:val="en-GB"/>
        </w:rPr>
        <w:t>participating in the Integrity Agencies Group, whose mission is to ensure that integrity is at the centre of the work of the public sector and that the Australian Public Sector (APS) approach to integrity is integrated, capable, agile and transparent, and whose membership includes a subset of the Commonwealth integrity agencies</w:t>
      </w:r>
    </w:p>
    <w:p w14:paraId="609D4341" w14:textId="5FCA0F26" w:rsidR="00D101F7" w:rsidRPr="00D101F7" w:rsidRDefault="00D101F7" w:rsidP="00D101F7">
      <w:pPr>
        <w:pStyle w:val="Bullet1"/>
        <w:rPr>
          <w:lang w:val="en-GB"/>
        </w:rPr>
      </w:pPr>
      <w:r w:rsidRPr="00D101F7">
        <w:rPr>
          <w:lang w:val="en-GB"/>
        </w:rPr>
        <w:t>contributing to broader Commonwealth integrity initiatives, including the APS</w:t>
      </w:r>
      <w:r w:rsidR="00AB7525">
        <w:rPr>
          <w:lang w:val="en-GB"/>
        </w:rPr>
        <w:t xml:space="preserve"> </w:t>
      </w:r>
      <w:r w:rsidRPr="00D101F7">
        <w:rPr>
          <w:lang w:val="en-GB"/>
        </w:rPr>
        <w:t>Reform Agenda.</w:t>
      </w:r>
    </w:p>
    <w:p w14:paraId="0C2A0802" w14:textId="77777777" w:rsidR="00D101F7" w:rsidRPr="00D101F7" w:rsidRDefault="00D101F7" w:rsidP="00D101F7">
      <w:pPr>
        <w:rPr>
          <w:lang w:val="en-GB"/>
        </w:rPr>
      </w:pPr>
      <w:r w:rsidRPr="00D101F7">
        <w:rPr>
          <w:lang w:val="en-GB"/>
        </w:rPr>
        <w:lastRenderedPageBreak/>
        <w:t>As a member of the Integrity Agencies Group and the Criminal Justice and Law Enforcement Forum, the Commission consults regularly with partner integrity agencies.</w:t>
      </w:r>
    </w:p>
    <w:p w14:paraId="4381DDB6" w14:textId="77777777" w:rsidR="00D101F7" w:rsidRPr="00D101F7" w:rsidRDefault="00D101F7" w:rsidP="00D101F7">
      <w:pPr>
        <w:rPr>
          <w:lang w:val="en-GB"/>
        </w:rPr>
      </w:pPr>
      <w:r w:rsidRPr="00D101F7">
        <w:rPr>
          <w:lang w:val="en-GB"/>
        </w:rPr>
        <w:t>The Commission’s participation in these forums supports knowledge-sharing and best practice in integrity policy, programming and agency operations.</w:t>
      </w:r>
    </w:p>
    <w:p w14:paraId="682376AA" w14:textId="77777777" w:rsidR="00D101F7" w:rsidRPr="00D101F7" w:rsidRDefault="00D101F7" w:rsidP="00AB7525">
      <w:pPr>
        <w:pStyle w:val="Heading3"/>
        <w:spacing w:before="360" w:after="240"/>
        <w:rPr>
          <w:lang w:val="en-GB"/>
        </w:rPr>
      </w:pPr>
      <w:r w:rsidRPr="00D101F7">
        <w:rPr>
          <w:lang w:val="en-GB"/>
        </w:rPr>
        <w:t>Commonwealth integrity agencies</w:t>
      </w:r>
    </w:p>
    <w:p w14:paraId="338C5903" w14:textId="77777777" w:rsidR="00D101F7" w:rsidRPr="00D101F7" w:rsidRDefault="00D101F7" w:rsidP="00D101F7">
      <w:pPr>
        <w:rPr>
          <w:lang w:val="en-GB"/>
        </w:rPr>
      </w:pPr>
      <w:r w:rsidRPr="00D101F7">
        <w:rPr>
          <w:lang w:val="en-GB"/>
        </w:rPr>
        <w:t>The Commission’s jurisdiction overlaps with that of other Commonwealth integrity agencies, including:</w:t>
      </w:r>
    </w:p>
    <w:p w14:paraId="2A3F883B" w14:textId="77777777" w:rsidR="00D101F7" w:rsidRPr="00D101F7" w:rsidRDefault="00D101F7" w:rsidP="002C48B9">
      <w:pPr>
        <w:pStyle w:val="Bullet1"/>
        <w:rPr>
          <w:lang w:val="en-GB"/>
        </w:rPr>
      </w:pPr>
      <w:r w:rsidRPr="00D101F7">
        <w:rPr>
          <w:lang w:val="en-GB"/>
        </w:rPr>
        <w:t>Commonwealth Ombudsman (and related Ombudsman appointments)</w:t>
      </w:r>
    </w:p>
    <w:p w14:paraId="625A057D" w14:textId="77777777" w:rsidR="00D101F7" w:rsidRPr="00D101F7" w:rsidRDefault="00D101F7" w:rsidP="002C48B9">
      <w:pPr>
        <w:pStyle w:val="Bullet1"/>
        <w:rPr>
          <w:lang w:val="en-GB"/>
        </w:rPr>
      </w:pPr>
      <w:r w:rsidRPr="00D101F7">
        <w:rPr>
          <w:lang w:val="en-GB"/>
        </w:rPr>
        <w:t>Australian Public Service Commissioner</w:t>
      </w:r>
    </w:p>
    <w:p w14:paraId="3291863F" w14:textId="77777777" w:rsidR="00D101F7" w:rsidRPr="00D101F7" w:rsidRDefault="00D101F7" w:rsidP="002C48B9">
      <w:pPr>
        <w:pStyle w:val="Bullet1"/>
        <w:rPr>
          <w:lang w:val="en-GB"/>
        </w:rPr>
      </w:pPr>
      <w:r w:rsidRPr="00D101F7">
        <w:rPr>
          <w:lang w:val="en-GB"/>
        </w:rPr>
        <w:t>Merit Protection Commissioner</w:t>
      </w:r>
    </w:p>
    <w:p w14:paraId="13D7DFB4" w14:textId="77777777" w:rsidR="00D101F7" w:rsidRPr="00D101F7" w:rsidRDefault="00D101F7" w:rsidP="002C48B9">
      <w:pPr>
        <w:pStyle w:val="Bullet1"/>
        <w:rPr>
          <w:lang w:val="en-GB"/>
        </w:rPr>
      </w:pPr>
      <w:r w:rsidRPr="00D101F7">
        <w:rPr>
          <w:lang w:val="en-GB"/>
        </w:rPr>
        <w:t>Auditor-General</w:t>
      </w:r>
    </w:p>
    <w:p w14:paraId="5BADB470" w14:textId="77777777" w:rsidR="00D101F7" w:rsidRPr="00D101F7" w:rsidRDefault="00D101F7" w:rsidP="002C48B9">
      <w:pPr>
        <w:pStyle w:val="Bullet1"/>
        <w:rPr>
          <w:lang w:val="en-GB"/>
        </w:rPr>
      </w:pPr>
      <w:r w:rsidRPr="00D101F7">
        <w:rPr>
          <w:lang w:val="en-GB"/>
        </w:rPr>
        <w:t>AFP Commissioner</w:t>
      </w:r>
    </w:p>
    <w:p w14:paraId="31F0016F" w14:textId="77777777" w:rsidR="00D101F7" w:rsidRPr="00D101F7" w:rsidRDefault="00D101F7" w:rsidP="002C48B9">
      <w:pPr>
        <w:pStyle w:val="Bullet1"/>
        <w:rPr>
          <w:lang w:val="en-GB"/>
        </w:rPr>
      </w:pPr>
      <w:r w:rsidRPr="00D101F7">
        <w:rPr>
          <w:lang w:val="en-GB"/>
        </w:rPr>
        <w:t>Parliamentary Service Commissioner</w:t>
      </w:r>
    </w:p>
    <w:p w14:paraId="5F73C382" w14:textId="77777777" w:rsidR="00D101F7" w:rsidRPr="00D101F7" w:rsidRDefault="00D101F7" w:rsidP="002C48B9">
      <w:pPr>
        <w:pStyle w:val="Bullet1"/>
        <w:rPr>
          <w:lang w:val="en-GB"/>
        </w:rPr>
      </w:pPr>
      <w:r w:rsidRPr="00D101F7">
        <w:rPr>
          <w:lang w:val="en-GB"/>
        </w:rPr>
        <w:t>Parliamentary Service Merit Protection Commissioner</w:t>
      </w:r>
    </w:p>
    <w:p w14:paraId="7720374D" w14:textId="77777777" w:rsidR="00D101F7" w:rsidRPr="00D101F7" w:rsidRDefault="00D101F7" w:rsidP="002C48B9">
      <w:pPr>
        <w:pStyle w:val="Bullet1"/>
        <w:rPr>
          <w:lang w:val="en-GB"/>
        </w:rPr>
      </w:pPr>
      <w:r w:rsidRPr="00D101F7">
        <w:rPr>
          <w:lang w:val="en-GB"/>
        </w:rPr>
        <w:t>Australian Information Commissioner</w:t>
      </w:r>
    </w:p>
    <w:p w14:paraId="29F68673" w14:textId="77777777" w:rsidR="00D101F7" w:rsidRPr="00D101F7" w:rsidRDefault="00D101F7" w:rsidP="002C48B9">
      <w:pPr>
        <w:pStyle w:val="Bullet1"/>
        <w:rPr>
          <w:lang w:val="en-GB"/>
        </w:rPr>
      </w:pPr>
      <w:r w:rsidRPr="00D101F7">
        <w:rPr>
          <w:lang w:val="en-GB"/>
        </w:rPr>
        <w:t>CEO of the Australian Crime Commission</w:t>
      </w:r>
    </w:p>
    <w:p w14:paraId="7190BED1" w14:textId="77777777" w:rsidR="00D101F7" w:rsidRPr="00D101F7" w:rsidRDefault="00D101F7" w:rsidP="002C48B9">
      <w:pPr>
        <w:pStyle w:val="Bullet1"/>
        <w:rPr>
          <w:lang w:val="en-GB"/>
        </w:rPr>
      </w:pPr>
      <w:r w:rsidRPr="00D101F7">
        <w:rPr>
          <w:lang w:val="en-GB"/>
        </w:rPr>
        <w:t>Inspector-General of Intelligence and Security (IGIS)</w:t>
      </w:r>
    </w:p>
    <w:p w14:paraId="58F55E59" w14:textId="77777777" w:rsidR="00D101F7" w:rsidRPr="00D101F7" w:rsidRDefault="00D101F7" w:rsidP="002C48B9">
      <w:pPr>
        <w:pStyle w:val="Bullet1"/>
        <w:rPr>
          <w:lang w:val="en-GB"/>
        </w:rPr>
      </w:pPr>
      <w:r w:rsidRPr="00D101F7">
        <w:rPr>
          <w:lang w:val="en-GB"/>
        </w:rPr>
        <w:t>Inspector-General of Taxation</w:t>
      </w:r>
    </w:p>
    <w:p w14:paraId="58315113" w14:textId="77777777" w:rsidR="00D101F7" w:rsidRPr="00D101F7" w:rsidRDefault="00D101F7" w:rsidP="002C48B9">
      <w:pPr>
        <w:pStyle w:val="Bullet1"/>
        <w:rPr>
          <w:lang w:val="en-GB"/>
        </w:rPr>
      </w:pPr>
      <w:r w:rsidRPr="00D101F7">
        <w:rPr>
          <w:lang w:val="en-GB"/>
        </w:rPr>
        <w:t>Chief Executive Officer of the Tertiary Education Quality and Standards Agency</w:t>
      </w:r>
    </w:p>
    <w:p w14:paraId="77003073" w14:textId="77777777" w:rsidR="00D101F7" w:rsidRPr="00D101F7" w:rsidRDefault="00D101F7" w:rsidP="002C48B9">
      <w:pPr>
        <w:pStyle w:val="Bullet1"/>
        <w:rPr>
          <w:lang w:val="en-GB"/>
        </w:rPr>
      </w:pPr>
      <w:r w:rsidRPr="00D101F7">
        <w:rPr>
          <w:lang w:val="en-GB"/>
        </w:rPr>
        <w:lastRenderedPageBreak/>
        <w:t>Inspector-General of Biosecurity</w:t>
      </w:r>
    </w:p>
    <w:p w14:paraId="5D4F90DB" w14:textId="77777777" w:rsidR="00D101F7" w:rsidRPr="00D101F7" w:rsidRDefault="00D101F7" w:rsidP="002C48B9">
      <w:pPr>
        <w:pStyle w:val="Bullet1"/>
        <w:rPr>
          <w:lang w:val="en-GB"/>
        </w:rPr>
      </w:pPr>
      <w:r w:rsidRPr="00D101F7">
        <w:rPr>
          <w:lang w:val="en-GB"/>
        </w:rPr>
        <w:t>Inspector-General of Live Animal Exports</w:t>
      </w:r>
    </w:p>
    <w:p w14:paraId="5074FCBF" w14:textId="77777777" w:rsidR="00D101F7" w:rsidRPr="00D101F7" w:rsidRDefault="00D101F7" w:rsidP="002C48B9">
      <w:pPr>
        <w:pStyle w:val="Bullet1"/>
        <w:rPr>
          <w:lang w:val="en-GB"/>
        </w:rPr>
      </w:pPr>
      <w:r w:rsidRPr="00D101F7">
        <w:rPr>
          <w:lang w:val="en-GB"/>
        </w:rPr>
        <w:t>Inspector-General of Water Compliance</w:t>
      </w:r>
    </w:p>
    <w:p w14:paraId="33110766" w14:textId="77777777" w:rsidR="00D101F7" w:rsidRPr="00D101F7" w:rsidRDefault="00D101F7" w:rsidP="002C48B9">
      <w:pPr>
        <w:pStyle w:val="Bullet1"/>
        <w:rPr>
          <w:lang w:val="en-GB"/>
        </w:rPr>
      </w:pPr>
      <w:r w:rsidRPr="00D101F7">
        <w:rPr>
          <w:lang w:val="en-GB"/>
        </w:rPr>
        <w:t>Inspector-General of the Australian Defence Force.</w:t>
      </w:r>
    </w:p>
    <w:p w14:paraId="2F55AFFE" w14:textId="77777777" w:rsidR="00D101F7" w:rsidRPr="00D101F7" w:rsidRDefault="00D101F7" w:rsidP="00D101F7">
      <w:pPr>
        <w:rPr>
          <w:lang w:val="en-GB"/>
        </w:rPr>
      </w:pPr>
      <w:r w:rsidRPr="00D101F7">
        <w:rPr>
          <w:lang w:val="en-GB"/>
        </w:rPr>
        <w:t>Functions of the Commission include overseeing investigations into corruption issues conducted by other Commonwealth agencies.</w:t>
      </w:r>
    </w:p>
    <w:p w14:paraId="054D783F" w14:textId="4522F2C7" w:rsidR="00D101F7" w:rsidRPr="00D101F7" w:rsidRDefault="00D101F7" w:rsidP="00D101F7">
      <w:pPr>
        <w:rPr>
          <w:lang w:val="en-GB"/>
        </w:rPr>
      </w:pPr>
      <w:r w:rsidRPr="00D101F7">
        <w:rPr>
          <w:lang w:val="en-GB"/>
        </w:rPr>
        <w:t>The Commission’s approach is guided by the principle of complementarity. Where another integrity agency is better placed or more appropriately equipped to deal with a corruption issue, the Commission will be inclined to refer the corruption issue to that agency. This will depend on the nature of the corruption issue and the capacity of the integrity agency to undertake the investigation and any perceptions of partiality that may arise. The Commission can also undertake a joint investigation with</w:t>
      </w:r>
      <w:r w:rsidR="00AB7525">
        <w:rPr>
          <w:lang w:val="en-GB"/>
        </w:rPr>
        <w:t xml:space="preserve"> </w:t>
      </w:r>
      <w:r w:rsidRPr="00D101F7">
        <w:rPr>
          <w:lang w:val="en-GB"/>
        </w:rPr>
        <w:t>another agency.</w:t>
      </w:r>
    </w:p>
    <w:p w14:paraId="080ABB9E" w14:textId="77777777" w:rsidR="00D101F7" w:rsidRPr="00D101F7" w:rsidRDefault="00D101F7" w:rsidP="00D101F7">
      <w:pPr>
        <w:rPr>
          <w:lang w:val="en-GB"/>
        </w:rPr>
      </w:pPr>
      <w:r w:rsidRPr="00D101F7">
        <w:rPr>
          <w:lang w:val="en-GB"/>
        </w:rPr>
        <w:t>If a Commonwealth integrity agency has previously concluded an investigation into a matter regarding the conduct of a public official, the Commission may only investigate the corruption issue if the Commissioner is satisfied that doing so is in the public interest.</w:t>
      </w:r>
    </w:p>
    <w:p w14:paraId="1ECC4EC1" w14:textId="77777777" w:rsidR="00D101F7" w:rsidRPr="00D101F7" w:rsidRDefault="00D101F7" w:rsidP="00AB7525">
      <w:pPr>
        <w:pStyle w:val="Heading3"/>
        <w:spacing w:before="360" w:after="240"/>
        <w:rPr>
          <w:lang w:val="en-GB"/>
        </w:rPr>
      </w:pPr>
      <w:r w:rsidRPr="00D101F7">
        <w:rPr>
          <w:lang w:val="en-GB"/>
        </w:rPr>
        <w:t>Intelligence agencies</w:t>
      </w:r>
    </w:p>
    <w:p w14:paraId="1EF5F7FD" w14:textId="77777777" w:rsidR="00D101F7" w:rsidRPr="00D101F7" w:rsidRDefault="00D101F7" w:rsidP="00D101F7">
      <w:pPr>
        <w:rPr>
          <w:lang w:val="en-GB"/>
        </w:rPr>
      </w:pPr>
      <w:r w:rsidRPr="00D101F7">
        <w:rPr>
          <w:lang w:val="en-GB"/>
        </w:rPr>
        <w:t>The Commission’s jurisdiction includes intelligence agencies and overlaps with that of the IGIS. If the Commission becomes aware that a corruption issue relates in any way to a security matter, the Commission must consult with the head of the Australian Security Intelligence Organisation.</w:t>
      </w:r>
    </w:p>
    <w:p w14:paraId="5D376F63" w14:textId="77777777" w:rsidR="00D101F7" w:rsidRPr="00D101F7" w:rsidRDefault="00D101F7" w:rsidP="00D101F7">
      <w:pPr>
        <w:rPr>
          <w:lang w:val="en-GB"/>
        </w:rPr>
      </w:pPr>
      <w:r w:rsidRPr="00D101F7">
        <w:rPr>
          <w:lang w:val="en-GB"/>
        </w:rPr>
        <w:t>If the Commission intends to exercise a power to require an IGIS official to give information or produce a document or thing that originated from, was collected by, or concerns the activities of an intelligence agency, the Commission must first consult the head of the intelligence agency and must consider, but is not bound by, the views of that head.</w:t>
      </w:r>
    </w:p>
    <w:p w14:paraId="32B917EF" w14:textId="77777777" w:rsidR="00D101F7" w:rsidRPr="00D101F7" w:rsidRDefault="00D101F7" w:rsidP="00D101F7">
      <w:pPr>
        <w:rPr>
          <w:lang w:val="en-GB"/>
        </w:rPr>
      </w:pPr>
      <w:r w:rsidRPr="00D101F7">
        <w:rPr>
          <w:lang w:val="en-GB"/>
        </w:rPr>
        <w:lastRenderedPageBreak/>
        <w:t>The Commission is in the process of negotiating an arrangement with heads of agencies within the National Intelligence Community, as required by section 239(1) of the NACC Act, relating to obtaining, storing, accessing, using or disclosing intelligence information relating to an intelligence agency.</w:t>
      </w:r>
    </w:p>
    <w:p w14:paraId="01D8060B" w14:textId="77777777" w:rsidR="00D101F7" w:rsidRPr="00D101F7" w:rsidRDefault="00D101F7" w:rsidP="00AB7525">
      <w:pPr>
        <w:pStyle w:val="Heading3"/>
        <w:spacing w:before="360" w:after="240"/>
        <w:rPr>
          <w:lang w:val="en-GB"/>
        </w:rPr>
      </w:pPr>
      <w:r w:rsidRPr="00D101F7">
        <w:rPr>
          <w:lang w:val="en-GB"/>
        </w:rPr>
        <w:t>Australian Parliament</w:t>
      </w:r>
    </w:p>
    <w:p w14:paraId="576C7BC8" w14:textId="71F24AFF" w:rsidR="00D101F7" w:rsidRPr="00D101F7" w:rsidRDefault="00D101F7" w:rsidP="00D101F7">
      <w:pPr>
        <w:rPr>
          <w:lang w:val="en-GB"/>
        </w:rPr>
      </w:pPr>
      <w:r w:rsidRPr="00D101F7">
        <w:rPr>
          <w:lang w:val="en-GB"/>
        </w:rPr>
        <w:t>The Commission engages with the Parliament to inform parliamentarians and their staff of their rights and obligations under the NACC</w:t>
      </w:r>
      <w:r w:rsidR="00AB7525">
        <w:rPr>
          <w:lang w:val="en-GB"/>
        </w:rPr>
        <w:t xml:space="preserve"> </w:t>
      </w:r>
      <w:proofErr w:type="gramStart"/>
      <w:r w:rsidRPr="00D101F7">
        <w:rPr>
          <w:lang w:val="en-GB"/>
        </w:rPr>
        <w:t>Act, and</w:t>
      </w:r>
      <w:proofErr w:type="gramEnd"/>
      <w:r w:rsidRPr="00D101F7">
        <w:rPr>
          <w:lang w:val="en-GB"/>
        </w:rPr>
        <w:t xml:space="preserve"> enhance understanding of integrity issues.</w:t>
      </w:r>
    </w:p>
    <w:p w14:paraId="77D592CE" w14:textId="218D85C1" w:rsidR="00D101F7" w:rsidRPr="00D101F7" w:rsidRDefault="00D101F7" w:rsidP="00D101F7">
      <w:pPr>
        <w:rPr>
          <w:lang w:val="en-GB"/>
        </w:rPr>
      </w:pPr>
      <w:r w:rsidRPr="00D101F7">
        <w:rPr>
          <w:lang w:val="en-GB"/>
        </w:rPr>
        <w:t>A Memorandum of Understanding is in place between the Commission and the Attorney</w:t>
      </w:r>
      <w:r w:rsidRPr="00D101F7">
        <w:rPr>
          <w:lang w:val="en-GB"/>
        </w:rPr>
        <w:noBreakHyphen/>
        <w:t>General, the President of the Senate, and the Speaker of the House of Representatives in respect of</w:t>
      </w:r>
      <w:r w:rsidR="00AB7525">
        <w:rPr>
          <w:lang w:val="en-GB"/>
        </w:rPr>
        <w:t xml:space="preserve"> </w:t>
      </w:r>
      <w:r w:rsidRPr="00D101F7">
        <w:rPr>
          <w:lang w:val="en-GB"/>
        </w:rPr>
        <w:t>parliamentary privilege.</w:t>
      </w:r>
    </w:p>
    <w:p w14:paraId="576DCFF0" w14:textId="77777777" w:rsidR="00D101F7" w:rsidRPr="00D101F7" w:rsidRDefault="00D101F7" w:rsidP="00AB7525">
      <w:pPr>
        <w:pStyle w:val="Heading3"/>
        <w:spacing w:before="360" w:after="240"/>
        <w:rPr>
          <w:lang w:val="en-GB"/>
        </w:rPr>
      </w:pPr>
      <w:r w:rsidRPr="00D101F7">
        <w:rPr>
          <w:lang w:val="en-GB"/>
        </w:rPr>
        <w:t>Attorney-General’s Department</w:t>
      </w:r>
    </w:p>
    <w:p w14:paraId="2ACF01A1" w14:textId="77777777" w:rsidR="00D101F7" w:rsidRPr="00D101F7" w:rsidRDefault="00D101F7" w:rsidP="00D101F7">
      <w:pPr>
        <w:rPr>
          <w:lang w:val="en-GB"/>
        </w:rPr>
      </w:pPr>
      <w:r w:rsidRPr="00D101F7">
        <w:rPr>
          <w:lang w:val="en-GB"/>
        </w:rPr>
        <w:t>The Commission will continue to work cooperatively with the Attorney</w:t>
      </w:r>
      <w:r w:rsidRPr="00D101F7">
        <w:rPr>
          <w:lang w:val="en-GB"/>
        </w:rPr>
        <w:noBreakHyphen/>
        <w:t>General’s Department in relation to the Department’s role in developing domestic policy on anti-corruption and engagement in a range of international anti-corruption forums.</w:t>
      </w:r>
    </w:p>
    <w:p w14:paraId="627E565A" w14:textId="77777777" w:rsidR="00D101F7" w:rsidRPr="00D101F7" w:rsidRDefault="00D101F7" w:rsidP="00AB7525">
      <w:pPr>
        <w:pStyle w:val="Heading3"/>
        <w:spacing w:before="360" w:after="240"/>
        <w:rPr>
          <w:lang w:val="en-GB"/>
        </w:rPr>
      </w:pPr>
      <w:r w:rsidRPr="00D101F7">
        <w:rPr>
          <w:lang w:val="en-GB"/>
        </w:rPr>
        <w:t>Department of Foreign Affairs</w:t>
      </w:r>
    </w:p>
    <w:p w14:paraId="23C3A4DF" w14:textId="2DDE71E8" w:rsidR="00D101F7" w:rsidRPr="00D101F7" w:rsidRDefault="00D101F7" w:rsidP="00D101F7">
      <w:pPr>
        <w:rPr>
          <w:lang w:val="en-GB"/>
        </w:rPr>
      </w:pPr>
      <w:r w:rsidRPr="00D101F7">
        <w:rPr>
          <w:lang w:val="en-GB"/>
        </w:rPr>
        <w:t>As required by the NACC Act, the Commission must consult with the Secretary of the Department of Foreign Affairs (DFAT) if</w:t>
      </w:r>
      <w:r w:rsidR="00AB7525">
        <w:rPr>
          <w:lang w:val="en-GB"/>
        </w:rPr>
        <w:t xml:space="preserve"> </w:t>
      </w:r>
      <w:r w:rsidRPr="00D101F7">
        <w:rPr>
          <w:lang w:val="en-GB"/>
        </w:rPr>
        <w:t>a</w:t>
      </w:r>
      <w:r w:rsidR="00AB7525">
        <w:rPr>
          <w:lang w:val="en-GB"/>
        </w:rPr>
        <w:t xml:space="preserve"> </w:t>
      </w:r>
      <w:r w:rsidRPr="00D101F7">
        <w:rPr>
          <w:lang w:val="en-GB"/>
        </w:rPr>
        <w:t>corruption investigation or a public inquiry relates to:</w:t>
      </w:r>
    </w:p>
    <w:p w14:paraId="2398C140" w14:textId="77777777" w:rsidR="00D101F7" w:rsidRPr="00D101F7" w:rsidRDefault="00D101F7" w:rsidP="00926FEE">
      <w:pPr>
        <w:pStyle w:val="Bullet1"/>
        <w:rPr>
          <w:lang w:val="en-GB"/>
        </w:rPr>
      </w:pPr>
      <w:r w:rsidRPr="00D101F7">
        <w:rPr>
          <w:lang w:val="en-GB"/>
        </w:rPr>
        <w:t>a foreign official</w:t>
      </w:r>
    </w:p>
    <w:p w14:paraId="363A7D9B" w14:textId="11C0567D" w:rsidR="00D101F7" w:rsidRPr="00D101F7" w:rsidRDefault="00D101F7" w:rsidP="00926FEE">
      <w:pPr>
        <w:pStyle w:val="Bullet1"/>
        <w:rPr>
          <w:lang w:val="en-GB"/>
        </w:rPr>
      </w:pPr>
      <w:r w:rsidRPr="00D101F7">
        <w:rPr>
          <w:lang w:val="en-GB"/>
        </w:rPr>
        <w:t>conduct in a foreign country of a</w:t>
      </w:r>
      <w:r w:rsidR="00AB7525">
        <w:rPr>
          <w:lang w:val="en-GB"/>
        </w:rPr>
        <w:t xml:space="preserve"> </w:t>
      </w:r>
      <w:r w:rsidRPr="00D101F7">
        <w:rPr>
          <w:lang w:val="en-GB"/>
        </w:rPr>
        <w:t>person who is not an Australian citizen or</w:t>
      </w:r>
      <w:r w:rsidR="00AB7525">
        <w:rPr>
          <w:lang w:val="en-GB"/>
        </w:rPr>
        <w:t xml:space="preserve"> </w:t>
      </w:r>
      <w:r w:rsidRPr="00D101F7">
        <w:rPr>
          <w:lang w:val="en-GB"/>
        </w:rPr>
        <w:t>permanent resident.</w:t>
      </w:r>
    </w:p>
    <w:p w14:paraId="7CF1767A" w14:textId="77777777" w:rsidR="00D101F7" w:rsidRPr="00D101F7" w:rsidRDefault="00D101F7" w:rsidP="00D101F7">
      <w:pPr>
        <w:rPr>
          <w:lang w:val="en-GB"/>
        </w:rPr>
      </w:pPr>
      <w:r w:rsidRPr="00D101F7">
        <w:rPr>
          <w:lang w:val="en-GB"/>
        </w:rPr>
        <w:t>It will do so via an already established process and points of contact, and mindful of the wider national interests potentially at stake in that context.</w:t>
      </w:r>
    </w:p>
    <w:p w14:paraId="565B17FC" w14:textId="3C4F3108" w:rsidR="00D101F7" w:rsidRPr="00D101F7" w:rsidRDefault="00D101F7" w:rsidP="00D101F7">
      <w:pPr>
        <w:rPr>
          <w:lang w:val="en-GB"/>
        </w:rPr>
      </w:pPr>
      <w:r w:rsidRPr="00D101F7">
        <w:rPr>
          <w:lang w:val="en-GB"/>
        </w:rPr>
        <w:lastRenderedPageBreak/>
        <w:t>The Commission recognises that corruption is a transnational issue that does not respect national boundaries. Accordingly, the Commission contributes to global anti-corruption efforts through engagement with other national anti-corruption agencies, and participation in regional and international anti-corruption forums. In this respect, the Commission is particularly focussed on cooperation with Pacific Island countries to build their anti-corruption capacity. It will continue to work cooperatively with DFAT in</w:t>
      </w:r>
      <w:r w:rsidR="00AB7525">
        <w:rPr>
          <w:lang w:val="en-GB"/>
        </w:rPr>
        <w:t xml:space="preserve"> </w:t>
      </w:r>
      <w:r w:rsidRPr="00D101F7">
        <w:rPr>
          <w:lang w:val="en-GB"/>
        </w:rPr>
        <w:t>these forums.</w:t>
      </w:r>
    </w:p>
    <w:p w14:paraId="7FB40D83" w14:textId="77777777" w:rsidR="00D101F7" w:rsidRPr="00D101F7" w:rsidRDefault="00D101F7" w:rsidP="00AB7525">
      <w:pPr>
        <w:pStyle w:val="Heading3"/>
        <w:spacing w:before="360" w:after="240"/>
        <w:rPr>
          <w:lang w:val="en-GB"/>
        </w:rPr>
      </w:pPr>
      <w:r w:rsidRPr="00D101F7">
        <w:rPr>
          <w:lang w:val="en-GB"/>
        </w:rPr>
        <w:t>State and territory integrity agencies</w:t>
      </w:r>
    </w:p>
    <w:p w14:paraId="779AAEA0" w14:textId="11B6A9B4" w:rsidR="00D101F7" w:rsidRPr="002209C8" w:rsidRDefault="00D101F7" w:rsidP="002209C8">
      <w:pPr>
        <w:rPr>
          <w:lang w:val="en-GB"/>
        </w:rPr>
      </w:pPr>
      <w:r w:rsidRPr="00D101F7">
        <w:rPr>
          <w:lang w:val="en-GB"/>
        </w:rPr>
        <w:t>The Commission regularly engages with integrity and anti-corruption commissions in Australian states and territories through the Commissioners Forum and the Prevention Practitioners Forum. The Commission’s participation in these forums supports knowledge-sharing and the development of best practice in integrity policy, programming and agency operations.</w:t>
      </w:r>
    </w:p>
    <w:p w14:paraId="4F92CE9F" w14:textId="77777777" w:rsidR="002209C8" w:rsidRPr="002209C8" w:rsidRDefault="002209C8" w:rsidP="00434A7D">
      <w:pPr>
        <w:pStyle w:val="Heading2"/>
        <w:spacing w:before="360" w:after="240"/>
        <w:rPr>
          <w:lang w:val="en-GB"/>
        </w:rPr>
      </w:pPr>
      <w:bookmarkStart w:id="63" w:name="_Toc221793672"/>
      <w:bookmarkStart w:id="64" w:name="_Toc221793692"/>
      <w:bookmarkStart w:id="65" w:name="_Toc221801463"/>
      <w:r w:rsidRPr="002209C8">
        <w:rPr>
          <w:lang w:val="en-GB"/>
        </w:rPr>
        <w:t>Capability</w:t>
      </w:r>
      <w:bookmarkEnd w:id="63"/>
      <w:bookmarkEnd w:id="64"/>
      <w:bookmarkEnd w:id="65"/>
    </w:p>
    <w:p w14:paraId="4E0D816D" w14:textId="77777777" w:rsidR="002209C8" w:rsidRPr="002209C8" w:rsidRDefault="002209C8" w:rsidP="00AB7525">
      <w:pPr>
        <w:pStyle w:val="Heading3"/>
        <w:spacing w:before="360" w:after="240"/>
        <w:rPr>
          <w:lang w:val="en-GB"/>
        </w:rPr>
      </w:pPr>
      <w:r w:rsidRPr="002209C8">
        <w:rPr>
          <w:lang w:val="en-GB"/>
        </w:rPr>
        <w:t>Workforce</w:t>
      </w:r>
    </w:p>
    <w:p w14:paraId="6BAA64B5" w14:textId="77777777" w:rsidR="00926FEE" w:rsidRPr="00926FEE" w:rsidRDefault="00926FEE" w:rsidP="00926FEE">
      <w:pPr>
        <w:rPr>
          <w:lang w:val="en-GB"/>
        </w:rPr>
      </w:pPr>
      <w:r w:rsidRPr="00926FEE">
        <w:rPr>
          <w:lang w:val="en-GB"/>
        </w:rPr>
        <w:t>The number, capability, skills and experience of its staff is critical to the Commission’s ability to perform its key functions, and to fulfil its purpose efficiently and effectively.</w:t>
      </w:r>
    </w:p>
    <w:p w14:paraId="02E67469" w14:textId="77777777" w:rsidR="00926FEE" w:rsidRPr="00926FEE" w:rsidRDefault="00926FEE" w:rsidP="00926FEE">
      <w:pPr>
        <w:rPr>
          <w:lang w:val="en-GB"/>
        </w:rPr>
      </w:pPr>
      <w:r w:rsidRPr="00926FEE">
        <w:rPr>
          <w:lang w:val="en-GB"/>
        </w:rPr>
        <w:t>The Commission continues to build its workforce in line with the staffing budget provided in the Portfolio Budget Statements 2025-2026. The organisational structure of the Commission is shown in Figure 2.</w:t>
      </w:r>
    </w:p>
    <w:p w14:paraId="66C4BD81" w14:textId="08E52B4A" w:rsidR="00712E2C" w:rsidRDefault="00926FEE" w:rsidP="00712E2C">
      <w:pPr>
        <w:rPr>
          <w:lang w:val="en-GB"/>
        </w:rPr>
      </w:pPr>
      <w:r w:rsidRPr="00926FEE">
        <w:rPr>
          <w:lang w:val="en-GB"/>
        </w:rPr>
        <w:t>The CEO and 3 Deputy Commissioners report to the Commissioner. General Managers of 6 branches report directly to the CEO. The branches are: Enabling Services; Evaluation; Legal; Media, Communications, Corruption Prevention and Education; Operational Capabilities; and Operations. The Governance team also reports directly to the CEO.</w:t>
      </w:r>
    </w:p>
    <w:p w14:paraId="0B9F0611" w14:textId="77777777" w:rsidR="00193F16" w:rsidRPr="00193F16" w:rsidRDefault="00193F16" w:rsidP="00193F16">
      <w:pPr>
        <w:rPr>
          <w:lang w:val="en-GB"/>
        </w:rPr>
      </w:pPr>
      <w:r w:rsidRPr="00193F16">
        <w:rPr>
          <w:lang w:val="en-GB"/>
        </w:rPr>
        <w:lastRenderedPageBreak/>
        <w:t>The Commission is focused on attracting and retaining highly skilled and motivated staff to ensure it has the capacity to effectively undertake its functions and achieve its purpose.</w:t>
      </w:r>
    </w:p>
    <w:p w14:paraId="6EB87391" w14:textId="77777777" w:rsidR="00193F16" w:rsidRPr="00193F16" w:rsidRDefault="00193F16" w:rsidP="00193F16">
      <w:pPr>
        <w:rPr>
          <w:lang w:val="en-GB"/>
        </w:rPr>
      </w:pPr>
      <w:r w:rsidRPr="00193F16">
        <w:rPr>
          <w:lang w:val="en-GB"/>
        </w:rPr>
        <w:t>The Commission is committed to maximising in-house resources and minimising use of contractors and consultants.</w:t>
      </w:r>
    </w:p>
    <w:p w14:paraId="445028F2" w14:textId="523FB81C" w:rsidR="00E90EA6" w:rsidRDefault="00193F16" w:rsidP="00E90EA6">
      <w:r w:rsidRPr="00193F16">
        <w:rPr>
          <w:lang w:val="en-GB"/>
        </w:rPr>
        <w:t>However, it will continue to retain outsourcing arrangements for some elements of its core work, particularly in the information and communications technology (ICT) sector. With a competitive labour market and skills shortages, it is not currently possible for the Commission to reduce outsourced work and bring these roles in-house, in line with the APS Strategic Commissioning Framework.</w:t>
      </w:r>
    </w:p>
    <w:p w14:paraId="35368720" w14:textId="7B6446AE" w:rsidR="00193F16" w:rsidRPr="00E90EA6" w:rsidRDefault="00E90EA6" w:rsidP="00E90EA6">
      <w:pPr>
        <w:pStyle w:val="Heading4"/>
        <w:rPr>
          <w:b w:val="0"/>
          <w:bCs/>
          <w:lang w:val="en-GB"/>
        </w:rPr>
      </w:pPr>
      <w:r w:rsidRPr="00E90EA6">
        <w:rPr>
          <w:color w:val="1B598C" w:themeColor="text1"/>
        </w:rPr>
        <w:t xml:space="preserve">Figure 2: </w:t>
      </w:r>
      <w:r w:rsidRPr="00E90EA6">
        <w:rPr>
          <w:b w:val="0"/>
          <w:bCs/>
        </w:rPr>
        <w:t>Organisational structure</w:t>
      </w:r>
    </w:p>
    <w:p w14:paraId="2AAC7E48" w14:textId="77777777" w:rsidR="00E90EA6" w:rsidRDefault="00E90EA6" w:rsidP="00011926">
      <w:pPr>
        <w:rPr>
          <w:lang w:val="en-GB"/>
        </w:rPr>
      </w:pPr>
      <w:r w:rsidRPr="002209C8">
        <w:rPr>
          <w:noProof/>
          <w:lang w:val="en-GB"/>
        </w:rPr>
        <w:drawing>
          <wp:inline distT="0" distB="0" distL="0" distR="0" wp14:anchorId="3860FBCC" wp14:editId="1B71B587">
            <wp:extent cx="5631833" cy="3862070"/>
            <wp:effectExtent l="0" t="0" r="0" b="0"/>
            <wp:docPr id="1261052492" name="Picture 1" descr="The text version of the diagram is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52492" name="Picture 1" descr="The text version of the diagram is above i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31833" cy="3862070"/>
                    </a:xfrm>
                    <a:prstGeom prst="rect">
                      <a:avLst/>
                    </a:prstGeom>
                  </pic:spPr>
                </pic:pic>
              </a:graphicData>
            </a:graphic>
          </wp:inline>
        </w:drawing>
      </w:r>
      <w:r>
        <w:rPr>
          <w:lang w:val="en-GB"/>
        </w:rPr>
        <w:br w:type="page"/>
      </w:r>
    </w:p>
    <w:p w14:paraId="0158BA4C" w14:textId="2B710A7F" w:rsidR="00011926" w:rsidRPr="00011926" w:rsidRDefault="00011926" w:rsidP="00011926">
      <w:pPr>
        <w:rPr>
          <w:lang w:val="en-GB"/>
        </w:rPr>
      </w:pPr>
      <w:r w:rsidRPr="00011926">
        <w:rPr>
          <w:lang w:val="en-GB"/>
        </w:rPr>
        <w:lastRenderedPageBreak/>
        <w:t>The Commission has implemented a learning and development framework, to ensure all employees develop and maintain the necessary skills to deliver business outcomes. This</w:t>
      </w:r>
      <w:r w:rsidR="00AB7525">
        <w:rPr>
          <w:lang w:val="en-GB"/>
        </w:rPr>
        <w:t xml:space="preserve"> </w:t>
      </w:r>
      <w:r w:rsidRPr="00011926">
        <w:rPr>
          <w:lang w:val="en-GB"/>
        </w:rPr>
        <w:t>framework focuses on core elements such as induction, mandatory (ongoing essential learning) and role-specific development requirements to ensure the Commission complies with and maintains its obligations to employees, contractors, the government and the Australian public. The</w:t>
      </w:r>
      <w:r w:rsidR="00AB7525">
        <w:rPr>
          <w:lang w:val="en-GB"/>
        </w:rPr>
        <w:t xml:space="preserve"> </w:t>
      </w:r>
      <w:r w:rsidRPr="00011926">
        <w:rPr>
          <w:lang w:val="en-GB"/>
        </w:rPr>
        <w:t>Commission maintains a centralised capability development budget to ensure all employees have equitable access to learning opportunities and that a consistent approach to core learning</w:t>
      </w:r>
      <w:r w:rsidR="00AB7525">
        <w:rPr>
          <w:lang w:val="en-GB"/>
        </w:rPr>
        <w:t xml:space="preserve"> </w:t>
      </w:r>
      <w:r w:rsidRPr="00011926">
        <w:rPr>
          <w:lang w:val="en-GB"/>
        </w:rPr>
        <w:t>is implemented.</w:t>
      </w:r>
    </w:p>
    <w:p w14:paraId="43EF9E4C" w14:textId="77777777" w:rsidR="00011926" w:rsidRPr="00011926" w:rsidRDefault="00011926" w:rsidP="00011926">
      <w:pPr>
        <w:rPr>
          <w:lang w:val="en-GB"/>
        </w:rPr>
      </w:pPr>
      <w:r w:rsidRPr="00011926">
        <w:rPr>
          <w:lang w:val="en-GB"/>
        </w:rPr>
        <w:t>The Commission offers initiatives to support staff in the workplace and promote their physical and mental wellbeing, including generous flexible work provisions, access to an employee assistance program and access to an annual health and wellbeing reimbursement.</w:t>
      </w:r>
    </w:p>
    <w:p w14:paraId="5A989549" w14:textId="54A1014B" w:rsidR="00011926" w:rsidRPr="00011926" w:rsidRDefault="00011926" w:rsidP="00011926">
      <w:pPr>
        <w:rPr>
          <w:lang w:val="en-GB"/>
        </w:rPr>
      </w:pPr>
      <w:r w:rsidRPr="00011926">
        <w:rPr>
          <w:lang w:val="en-GB"/>
        </w:rPr>
        <w:t xml:space="preserve">The Commission aspires to generate and retain corporate knowledge in the long term through retaining staff and providing pathways for internal progression: for example, </w:t>
      </w:r>
      <w:proofErr w:type="gramStart"/>
      <w:r w:rsidRPr="00011926">
        <w:rPr>
          <w:lang w:val="en-GB"/>
        </w:rPr>
        <w:t>from intake and triage officer,</w:t>
      </w:r>
      <w:proofErr w:type="gramEnd"/>
      <w:r w:rsidRPr="00011926">
        <w:rPr>
          <w:lang w:val="en-GB"/>
        </w:rPr>
        <w:t xml:space="preserve"> to assessment officer, to</w:t>
      </w:r>
      <w:r w:rsidR="00AB7525">
        <w:rPr>
          <w:lang w:val="en-GB"/>
        </w:rPr>
        <w:t xml:space="preserve"> </w:t>
      </w:r>
      <w:r w:rsidRPr="00011926">
        <w:rPr>
          <w:lang w:val="en-GB"/>
        </w:rPr>
        <w:t>investigator or intelligence analyst.</w:t>
      </w:r>
    </w:p>
    <w:p w14:paraId="2AA4085C" w14:textId="77777777" w:rsidR="00011926" w:rsidRPr="00011926" w:rsidRDefault="00011926" w:rsidP="00AB7525">
      <w:pPr>
        <w:pStyle w:val="Heading3"/>
        <w:spacing w:before="360" w:after="240"/>
        <w:rPr>
          <w:lang w:val="en-GB"/>
        </w:rPr>
      </w:pPr>
      <w:r w:rsidRPr="00011926">
        <w:rPr>
          <w:lang w:val="en-GB"/>
        </w:rPr>
        <w:t>Information and communications technology</w:t>
      </w:r>
    </w:p>
    <w:p w14:paraId="71E1680B" w14:textId="77777777" w:rsidR="00011926" w:rsidRPr="00011926" w:rsidRDefault="00011926" w:rsidP="00011926">
      <w:pPr>
        <w:rPr>
          <w:lang w:val="en-GB"/>
        </w:rPr>
      </w:pPr>
      <w:r w:rsidRPr="00011926">
        <w:rPr>
          <w:lang w:val="en-GB"/>
        </w:rPr>
        <w:t>In 2025–29, the Commission will continue to mature its ICT systems with a focus on data, information management and operational capabilities. The Commission will be open to exploring innovative technologies to support the agency to operate efficiently, effectively and securely.</w:t>
      </w:r>
    </w:p>
    <w:p w14:paraId="6F6157CB" w14:textId="77777777" w:rsidR="00011926" w:rsidRPr="00011926" w:rsidRDefault="00011926" w:rsidP="00AB7525">
      <w:pPr>
        <w:pStyle w:val="Heading3"/>
        <w:spacing w:before="360" w:after="240"/>
        <w:rPr>
          <w:lang w:val="en-GB"/>
        </w:rPr>
      </w:pPr>
      <w:r w:rsidRPr="00011926">
        <w:rPr>
          <w:lang w:val="en-GB"/>
        </w:rPr>
        <w:t>Technical surveillance capability</w:t>
      </w:r>
    </w:p>
    <w:p w14:paraId="0471F2DF" w14:textId="77777777" w:rsidR="00011926" w:rsidRPr="00011926" w:rsidRDefault="00011926" w:rsidP="00011926">
      <w:pPr>
        <w:rPr>
          <w:lang w:val="en-GB"/>
        </w:rPr>
      </w:pPr>
      <w:r w:rsidRPr="00011926">
        <w:rPr>
          <w:lang w:val="en-GB"/>
        </w:rPr>
        <w:t>The availability of contemporary technical surveillance capabilities is critical to the Commission’s ability to perform its key functions efficiently and effectively.</w:t>
      </w:r>
    </w:p>
    <w:p w14:paraId="227F0CB0" w14:textId="4697F767" w:rsidR="00011926" w:rsidRPr="00011926" w:rsidRDefault="00011926" w:rsidP="00011926">
      <w:pPr>
        <w:rPr>
          <w:lang w:val="en-GB"/>
        </w:rPr>
      </w:pPr>
      <w:r w:rsidRPr="00011926">
        <w:rPr>
          <w:lang w:val="en-GB"/>
        </w:rPr>
        <w:lastRenderedPageBreak/>
        <w:t>The Commission works with other law</w:t>
      </w:r>
      <w:r w:rsidR="00AB7525">
        <w:rPr>
          <w:lang w:val="en-GB"/>
        </w:rPr>
        <w:t xml:space="preserve"> </w:t>
      </w:r>
      <w:r w:rsidRPr="00011926">
        <w:rPr>
          <w:lang w:val="en-GB"/>
        </w:rPr>
        <w:t>enforcement agencies to ensure it has access to the technical capabilities needed to</w:t>
      </w:r>
      <w:r w:rsidR="00AB7525">
        <w:rPr>
          <w:lang w:val="en-GB"/>
        </w:rPr>
        <w:t xml:space="preserve"> </w:t>
      </w:r>
      <w:r w:rsidRPr="00011926">
        <w:rPr>
          <w:lang w:val="en-GB"/>
        </w:rPr>
        <w:t>conduct its own investigations.</w:t>
      </w:r>
    </w:p>
    <w:p w14:paraId="49E6FE57" w14:textId="3D34C1F2" w:rsidR="00011926" w:rsidRDefault="00011926" w:rsidP="00011926">
      <w:pPr>
        <w:rPr>
          <w:lang w:val="en-GB"/>
        </w:rPr>
      </w:pPr>
      <w:r w:rsidRPr="00011926">
        <w:rPr>
          <w:lang w:val="en-GB"/>
        </w:rPr>
        <w:t>The Commission prioritises working with state and territory law enforcement and integrity agencies to minimise reliance on jurisdictional agencies. During the life of this plan, the Commission will consider the efficiency of technical capabilities being provided by third parties and, where appropriate, will consider bringing these capabilities in-house.</w:t>
      </w:r>
    </w:p>
    <w:p w14:paraId="79826DC7" w14:textId="2D0C3F59" w:rsidR="002209C8" w:rsidRPr="002209C8" w:rsidRDefault="002209C8" w:rsidP="00434A7D">
      <w:pPr>
        <w:pStyle w:val="Heading2"/>
        <w:spacing w:before="360" w:after="240"/>
        <w:rPr>
          <w:lang w:val="en-GB"/>
        </w:rPr>
      </w:pPr>
      <w:bookmarkStart w:id="66" w:name="_Toc221793673"/>
      <w:bookmarkStart w:id="67" w:name="_Toc221793693"/>
      <w:bookmarkStart w:id="68" w:name="_Toc221801464"/>
      <w:r w:rsidRPr="002209C8">
        <w:rPr>
          <w:lang w:val="en-GB"/>
        </w:rPr>
        <w:t>Risk oversight and management</w:t>
      </w:r>
      <w:bookmarkEnd w:id="66"/>
      <w:bookmarkEnd w:id="67"/>
      <w:bookmarkEnd w:id="68"/>
    </w:p>
    <w:p w14:paraId="38E2DD18" w14:textId="77777777" w:rsidR="00C367E0" w:rsidRPr="00C367E0" w:rsidRDefault="00C367E0" w:rsidP="00AB7525">
      <w:pPr>
        <w:pStyle w:val="Heading3"/>
        <w:spacing w:before="360" w:after="240"/>
        <w:rPr>
          <w:lang w:val="en-GB"/>
        </w:rPr>
      </w:pPr>
      <w:r w:rsidRPr="00C367E0">
        <w:rPr>
          <w:lang w:val="en-GB"/>
        </w:rPr>
        <w:t>Integrity</w:t>
      </w:r>
    </w:p>
    <w:p w14:paraId="7248C329" w14:textId="77777777" w:rsidR="00C367E0" w:rsidRPr="00C367E0" w:rsidRDefault="00C367E0" w:rsidP="00C367E0">
      <w:pPr>
        <w:rPr>
          <w:lang w:val="en-GB"/>
        </w:rPr>
      </w:pPr>
      <w:r w:rsidRPr="00C367E0">
        <w:rPr>
          <w:lang w:val="en-GB"/>
        </w:rPr>
        <w:t>The Commission is committed to upholding the highest standards of integrity, trustworthiness and effectiveness in its frameworks and decision-making processes. It strives to set a benchmark for excellence across the APS and meet the expectations of the Australian public.</w:t>
      </w:r>
    </w:p>
    <w:p w14:paraId="6C73F188" w14:textId="10B69471" w:rsidR="00C367E0" w:rsidRPr="00C367E0" w:rsidRDefault="00C367E0" w:rsidP="00C367E0">
      <w:pPr>
        <w:rPr>
          <w:lang w:val="en-GB"/>
        </w:rPr>
      </w:pPr>
      <w:r w:rsidRPr="00C367E0">
        <w:rPr>
          <w:lang w:val="en-GB"/>
        </w:rPr>
        <w:t>The Commission’s frameworks and policies align with the Integrity Principles set out in the Commonwealth Integrity Management Framework. The Commission’s integrity framework incorporates a suite of policies to provide guidance to staff on gifts and benefits, conflict of interest management, and fraud and</w:t>
      </w:r>
      <w:r w:rsidR="00AB7525">
        <w:rPr>
          <w:lang w:val="en-GB"/>
        </w:rPr>
        <w:t xml:space="preserve"> </w:t>
      </w:r>
      <w:r w:rsidRPr="00C367E0">
        <w:rPr>
          <w:lang w:val="en-GB"/>
        </w:rPr>
        <w:t>corruption control.</w:t>
      </w:r>
    </w:p>
    <w:p w14:paraId="3705CF24" w14:textId="77777777" w:rsidR="00C367E0" w:rsidRPr="00C367E0" w:rsidRDefault="00C367E0" w:rsidP="00C367E0">
      <w:pPr>
        <w:rPr>
          <w:lang w:val="en-GB"/>
        </w:rPr>
      </w:pPr>
      <w:r w:rsidRPr="00C367E0">
        <w:rPr>
          <w:lang w:val="en-GB"/>
        </w:rPr>
        <w:t xml:space="preserve">The Commission’s Fraud and Corruption Control Plan </w:t>
      </w:r>
      <w:proofErr w:type="gramStart"/>
      <w:r w:rsidRPr="00C367E0">
        <w:rPr>
          <w:lang w:val="en-GB"/>
        </w:rPr>
        <w:t>includes</w:t>
      </w:r>
      <w:proofErr w:type="gramEnd"/>
      <w:r w:rsidRPr="00C367E0">
        <w:rPr>
          <w:lang w:val="en-GB"/>
        </w:rPr>
        <w:t xml:space="preserve"> mechanisms to detect and report integrity issues. Targeted fraud and corruption risk assessments have been conducted to ensure control measures are adequate to protect the organisational integrity of the Commission.</w:t>
      </w:r>
    </w:p>
    <w:p w14:paraId="74E85EBC" w14:textId="77777777" w:rsidR="00C367E0" w:rsidRPr="00C367E0" w:rsidRDefault="00C367E0" w:rsidP="00AB7525">
      <w:pPr>
        <w:pStyle w:val="Heading3"/>
        <w:spacing w:before="360" w:after="240"/>
        <w:rPr>
          <w:lang w:val="en-GB"/>
        </w:rPr>
      </w:pPr>
      <w:r w:rsidRPr="00C367E0">
        <w:rPr>
          <w:lang w:val="en-GB"/>
        </w:rPr>
        <w:t>Risk management</w:t>
      </w:r>
    </w:p>
    <w:p w14:paraId="11873727" w14:textId="5B3E3AC3" w:rsidR="00C367E0" w:rsidRPr="00C367E0" w:rsidRDefault="00C367E0" w:rsidP="00C367E0">
      <w:pPr>
        <w:rPr>
          <w:lang w:val="en-GB"/>
        </w:rPr>
      </w:pPr>
      <w:r w:rsidRPr="00C367E0">
        <w:rPr>
          <w:lang w:val="en-GB"/>
        </w:rPr>
        <w:t xml:space="preserve">The Commission takes a strategic, consistent and structured approach to managing all types of risk, including enterprise, fraud and corruption, work health and safety, and business disruption risks. The Risk Management Policy and Framework (the Framework) </w:t>
      </w:r>
      <w:proofErr w:type="gramStart"/>
      <w:r w:rsidRPr="00C367E0">
        <w:rPr>
          <w:lang w:val="en-GB"/>
        </w:rPr>
        <w:t>sets</w:t>
      </w:r>
      <w:proofErr w:type="gramEnd"/>
      <w:r w:rsidRPr="00C367E0">
        <w:rPr>
          <w:lang w:val="en-GB"/>
        </w:rPr>
        <w:t xml:space="preserve"> out an approach to risk </w:t>
      </w:r>
      <w:r w:rsidRPr="00C367E0">
        <w:rPr>
          <w:lang w:val="en-GB"/>
        </w:rPr>
        <w:lastRenderedPageBreak/>
        <w:t>oversight, management and internal control that is integrated into planning, decision-making and operational activities. The Framework ensures the Commission satisfies its obligations under section 16 of the PGPA</w:t>
      </w:r>
      <w:r w:rsidR="00AB7525">
        <w:rPr>
          <w:lang w:val="en-GB"/>
        </w:rPr>
        <w:t xml:space="preserve"> </w:t>
      </w:r>
      <w:r w:rsidRPr="00C367E0">
        <w:rPr>
          <w:lang w:val="en-GB"/>
        </w:rPr>
        <w:t>Act, while also supporting appropriate systems</w:t>
      </w:r>
      <w:r w:rsidR="00AB7525">
        <w:rPr>
          <w:lang w:val="en-GB"/>
        </w:rPr>
        <w:t xml:space="preserve"> </w:t>
      </w:r>
      <w:r w:rsidRPr="00C367E0">
        <w:rPr>
          <w:lang w:val="en-GB"/>
        </w:rPr>
        <w:t>of governance.</w:t>
      </w:r>
    </w:p>
    <w:p w14:paraId="0B5B9987" w14:textId="77777777" w:rsidR="00C367E0" w:rsidRPr="00C367E0" w:rsidRDefault="00C367E0" w:rsidP="00C367E0">
      <w:pPr>
        <w:rPr>
          <w:lang w:val="en-GB"/>
        </w:rPr>
      </w:pPr>
      <w:r w:rsidRPr="00C367E0">
        <w:rPr>
          <w:lang w:val="en-GB"/>
        </w:rPr>
        <w:t>Internal audit activities provide independent assurance on risk, controls, compliance and external accountability, and identify opportunities for continuous improvement.</w:t>
      </w:r>
    </w:p>
    <w:p w14:paraId="541D9906" w14:textId="77777777" w:rsidR="00C367E0" w:rsidRPr="00C367E0" w:rsidRDefault="00C367E0" w:rsidP="00C367E0">
      <w:pPr>
        <w:rPr>
          <w:lang w:val="en-GB"/>
        </w:rPr>
      </w:pPr>
      <w:r w:rsidRPr="00C367E0">
        <w:rPr>
          <w:lang w:val="en-GB"/>
        </w:rPr>
        <w:t>The Commission takes a measured approach to risk, articulated in its risk appetite statement:</w:t>
      </w:r>
    </w:p>
    <w:p w14:paraId="0E8451E0" w14:textId="6B24A652" w:rsidR="00C367E0" w:rsidRPr="00C367E0" w:rsidRDefault="00C367E0" w:rsidP="00E90EA6">
      <w:pPr>
        <w:pStyle w:val="List1Numbered2"/>
        <w:numPr>
          <w:ilvl w:val="0"/>
          <w:numId w:val="0"/>
        </w:numPr>
        <w:pBdr>
          <w:top w:val="single" w:sz="48" w:space="6" w:color="E1E8F6" w:themeColor="background1"/>
          <w:left w:val="single" w:sz="48" w:space="6" w:color="E1E8F6" w:themeColor="background1"/>
          <w:bottom w:val="single" w:sz="48" w:space="6" w:color="E1E8F6" w:themeColor="background1"/>
          <w:right w:val="single" w:sz="48" w:space="6" w:color="E1E8F6" w:themeColor="background1"/>
        </w:pBdr>
        <w:shd w:val="clear" w:color="auto" w:fill="E1E8F6" w:themeFill="background1"/>
        <w:ind w:right="521"/>
        <w:rPr>
          <w:lang w:val="en-GB"/>
        </w:rPr>
      </w:pPr>
      <w:r w:rsidRPr="00C367E0">
        <w:rPr>
          <w:lang w:val="en-GB"/>
        </w:rPr>
        <w:t>The Commission acknowledges risk as an unavoidable, natural part of business that when actively managed at all levels, enables the Commission to achieve its objectives. However, the Commission has no appetite for risks associated with the safety of our people and witnesses, or inadequate integrity standards within the NACC, including corruption, or conduct contrary to our standing as an independent anti</w:t>
      </w:r>
      <w:r w:rsidR="00E90EA6">
        <w:rPr>
          <w:lang w:val="en-GB"/>
        </w:rPr>
        <w:t>-</w:t>
      </w:r>
      <w:r w:rsidRPr="00C367E0">
        <w:rPr>
          <w:lang w:val="en-GB"/>
        </w:rPr>
        <w:t>corruption commission.</w:t>
      </w:r>
    </w:p>
    <w:p w14:paraId="5EAD9F64" w14:textId="77777777" w:rsidR="00C367E0" w:rsidRPr="00C367E0" w:rsidRDefault="00C367E0" w:rsidP="00C367E0">
      <w:pPr>
        <w:rPr>
          <w:lang w:val="en-GB"/>
        </w:rPr>
      </w:pPr>
      <w:r w:rsidRPr="00C367E0">
        <w:rPr>
          <w:lang w:val="en-GB"/>
        </w:rPr>
        <w:t>The Commission’s key risks are principally addressed under 10 specific areas, identified as enterprise risks and outlined in Table 1.</w:t>
      </w:r>
    </w:p>
    <w:p w14:paraId="323EEEBF" w14:textId="10359C5A" w:rsidR="00CF425A" w:rsidRPr="00E90EA6" w:rsidRDefault="00CF425A" w:rsidP="00E90EA6">
      <w:pPr>
        <w:pStyle w:val="Heading4"/>
        <w:rPr>
          <w:b w:val="0"/>
          <w:bCs/>
        </w:rPr>
      </w:pPr>
      <w:r w:rsidRPr="00E90EA6">
        <w:rPr>
          <w:color w:val="1B598C" w:themeColor="text1"/>
        </w:rPr>
        <w:t xml:space="preserve">Table 1: </w:t>
      </w:r>
      <w:r w:rsidRPr="00E90EA6">
        <w:rPr>
          <w:b w:val="0"/>
          <w:bCs/>
        </w:rPr>
        <w:t>Enterprise risks</w:t>
      </w:r>
    </w:p>
    <w:tbl>
      <w:tblPr>
        <w:tblStyle w:val="CorporatePlan"/>
        <w:tblW w:w="9072" w:type="dxa"/>
        <w:tblLook w:val="0420" w:firstRow="1" w:lastRow="0" w:firstColumn="0" w:lastColumn="0" w:noHBand="0" w:noVBand="1"/>
      </w:tblPr>
      <w:tblGrid>
        <w:gridCol w:w="3402"/>
        <w:gridCol w:w="5670"/>
      </w:tblGrid>
      <w:tr w:rsidR="00CF425A" w:rsidRPr="00E90EA6" w14:paraId="7307D810" w14:textId="77777777" w:rsidTr="00181153">
        <w:trPr>
          <w:cnfStyle w:val="100000000000" w:firstRow="1" w:lastRow="0" w:firstColumn="0" w:lastColumn="0" w:oddVBand="0" w:evenVBand="0" w:oddHBand="0" w:evenHBand="0" w:firstRowFirstColumn="0" w:firstRowLastColumn="0" w:lastRowFirstColumn="0" w:lastRowLastColumn="0"/>
          <w:tblHeader/>
        </w:trPr>
        <w:tc>
          <w:tcPr>
            <w:tcW w:w="3402" w:type="dxa"/>
          </w:tcPr>
          <w:p w14:paraId="18B4BE5A" w14:textId="31F2A4DD" w:rsidR="00CF425A" w:rsidRPr="00E90EA6" w:rsidRDefault="00CF425A" w:rsidP="00D66834">
            <w:pPr>
              <w:spacing w:before="120" w:after="120"/>
              <w:rPr>
                <w:rFonts w:ascii="Work Sans SemiBold" w:hAnsi="Work Sans SemiBold"/>
                <w:b w:val="0"/>
                <w:color w:val="FFFFFF" w:themeColor="accent5"/>
                <w:lang w:val="en-GB"/>
              </w:rPr>
            </w:pPr>
            <w:bookmarkStart w:id="69" w:name="ColumnTitle_01"/>
            <w:bookmarkEnd w:id="69"/>
            <w:r w:rsidRPr="00E90EA6">
              <w:rPr>
                <w:rFonts w:ascii="Work Sans SemiBold" w:hAnsi="Work Sans SemiBold"/>
                <w:b w:val="0"/>
                <w:color w:val="FFFFFF" w:themeColor="accent5"/>
                <w:lang w:val="en-GB"/>
              </w:rPr>
              <w:t>Enterprise risk</w:t>
            </w:r>
          </w:p>
        </w:tc>
        <w:tc>
          <w:tcPr>
            <w:tcW w:w="5670" w:type="dxa"/>
          </w:tcPr>
          <w:p w14:paraId="68F751BE" w14:textId="7727CB91" w:rsidR="00CF425A" w:rsidRPr="00E90EA6" w:rsidRDefault="00CF425A" w:rsidP="00D66834">
            <w:pPr>
              <w:spacing w:before="120" w:after="120"/>
              <w:rPr>
                <w:rFonts w:ascii="Work Sans SemiBold" w:hAnsi="Work Sans SemiBold"/>
                <w:b w:val="0"/>
                <w:color w:val="FFFFFF" w:themeColor="accent5"/>
                <w:lang w:val="en-GB"/>
              </w:rPr>
            </w:pPr>
            <w:r w:rsidRPr="00E90EA6">
              <w:rPr>
                <w:rFonts w:ascii="Work Sans SemiBold" w:hAnsi="Work Sans SemiBold"/>
                <w:b w:val="0"/>
                <w:color w:val="FFFFFF" w:themeColor="accent5"/>
                <w:lang w:val="en-GB"/>
              </w:rPr>
              <w:t>How the Commission manages the risk</w:t>
            </w:r>
          </w:p>
        </w:tc>
      </w:tr>
      <w:tr w:rsidR="00CF425A" w14:paraId="6DF79B95" w14:textId="77777777" w:rsidTr="00181153">
        <w:trPr>
          <w:cnfStyle w:val="000000100000" w:firstRow="0" w:lastRow="0" w:firstColumn="0" w:lastColumn="0" w:oddVBand="0" w:evenVBand="0" w:oddHBand="1" w:evenHBand="0" w:firstRowFirstColumn="0" w:firstRowLastColumn="0" w:lastRowFirstColumn="0" w:lastRowLastColumn="0"/>
        </w:trPr>
        <w:tc>
          <w:tcPr>
            <w:tcW w:w="3402" w:type="dxa"/>
          </w:tcPr>
          <w:p w14:paraId="794AF526" w14:textId="04A6007A" w:rsidR="00CF425A" w:rsidRDefault="00CF425A" w:rsidP="00D66834">
            <w:pPr>
              <w:spacing w:before="120" w:after="120"/>
              <w:rPr>
                <w:lang w:val="en-GB"/>
              </w:rPr>
            </w:pPr>
            <w:r w:rsidRPr="00CF425A">
              <w:rPr>
                <w:lang w:val="en-GB"/>
              </w:rPr>
              <w:t>The Commission fails to establish and implement legislatively compliant processes and activities.</w:t>
            </w:r>
          </w:p>
        </w:tc>
        <w:tc>
          <w:tcPr>
            <w:tcW w:w="5670" w:type="dxa"/>
          </w:tcPr>
          <w:p w14:paraId="15300334" w14:textId="13E2AC36" w:rsidR="00CF425A" w:rsidRDefault="00CF425A" w:rsidP="00D66834">
            <w:pPr>
              <w:spacing w:before="120" w:after="120"/>
              <w:rPr>
                <w:lang w:val="en-GB"/>
              </w:rPr>
            </w:pPr>
            <w:r w:rsidRPr="00CF425A">
              <w:rPr>
                <w:lang w:val="en-GB"/>
              </w:rPr>
              <w:t>The Commission's Governance Framework ensures that the Accountable Authority and Commissioner are supported to discharge their duties in compliance with relevant legislative requirements. The activities of the Commission are overseen by the Inspector and the</w:t>
            </w:r>
            <w:r w:rsidR="00AB7525">
              <w:rPr>
                <w:lang w:val="en-GB"/>
              </w:rPr>
              <w:t xml:space="preserve"> </w:t>
            </w:r>
            <w:r w:rsidRPr="00CF425A">
              <w:rPr>
                <w:lang w:val="en-GB"/>
              </w:rPr>
              <w:t>PJC‑NACC.</w:t>
            </w:r>
          </w:p>
        </w:tc>
      </w:tr>
      <w:tr w:rsidR="00CF425A" w14:paraId="5D9A468A" w14:textId="77777777" w:rsidTr="00181153">
        <w:tc>
          <w:tcPr>
            <w:tcW w:w="3402" w:type="dxa"/>
          </w:tcPr>
          <w:p w14:paraId="7E758EAD" w14:textId="3DC1D0B0" w:rsidR="00CF425A" w:rsidRDefault="00CF425A" w:rsidP="00CF425A">
            <w:pPr>
              <w:spacing w:before="120" w:after="120"/>
              <w:rPr>
                <w:lang w:val="en-GB"/>
              </w:rPr>
            </w:pPr>
            <w:r w:rsidRPr="002178A7">
              <w:lastRenderedPageBreak/>
              <w:t>The Commission fails to establish and grow operational and organisational cadence and achieve Commission outcomes.</w:t>
            </w:r>
          </w:p>
        </w:tc>
        <w:tc>
          <w:tcPr>
            <w:tcW w:w="5670" w:type="dxa"/>
          </w:tcPr>
          <w:p w14:paraId="43BA4FF5" w14:textId="4F6FD192" w:rsidR="00CF425A" w:rsidRDefault="00CF425A" w:rsidP="00CF425A">
            <w:pPr>
              <w:spacing w:before="120" w:after="120"/>
              <w:rPr>
                <w:lang w:val="en-GB"/>
              </w:rPr>
            </w:pPr>
            <w:r w:rsidRPr="002178A7">
              <w:t>Key activities in relation to organisational and operational performance are outlined in this Corporate Plan. This is supported by internal and external performance reporting and assurance activities such as business planning and internal audit activities.</w:t>
            </w:r>
          </w:p>
        </w:tc>
      </w:tr>
      <w:tr w:rsidR="00CF425A" w14:paraId="05622332" w14:textId="77777777" w:rsidTr="00181153">
        <w:trPr>
          <w:cnfStyle w:val="000000100000" w:firstRow="0" w:lastRow="0" w:firstColumn="0" w:lastColumn="0" w:oddVBand="0" w:evenVBand="0" w:oddHBand="1" w:evenHBand="0" w:firstRowFirstColumn="0" w:firstRowLastColumn="0" w:lastRowFirstColumn="0" w:lastRowLastColumn="0"/>
        </w:trPr>
        <w:tc>
          <w:tcPr>
            <w:tcW w:w="3402" w:type="dxa"/>
          </w:tcPr>
          <w:p w14:paraId="0A71CD44" w14:textId="616108AA" w:rsidR="00CF425A" w:rsidRDefault="00CF425A" w:rsidP="00CF425A">
            <w:pPr>
              <w:spacing w:before="120" w:after="120"/>
              <w:rPr>
                <w:lang w:val="en-GB"/>
              </w:rPr>
            </w:pPr>
            <w:r w:rsidRPr="00486F7B">
              <w:t>The Commission fails to establish and build effective relationships.</w:t>
            </w:r>
          </w:p>
        </w:tc>
        <w:tc>
          <w:tcPr>
            <w:tcW w:w="5670" w:type="dxa"/>
          </w:tcPr>
          <w:p w14:paraId="4ADC6D83" w14:textId="62964243" w:rsidR="00CF425A" w:rsidRDefault="00CF425A" w:rsidP="00CF425A">
            <w:pPr>
              <w:spacing w:before="120" w:after="120"/>
              <w:rPr>
                <w:lang w:val="en-GB"/>
              </w:rPr>
            </w:pPr>
            <w:r w:rsidRPr="00486F7B">
              <w:t>A National Engagement Strategy has been established to ensure that each function commits to building connections with key stakeholders to ensure objectives are met and that the Commission meets its obligations as an Integrity agency.</w:t>
            </w:r>
          </w:p>
        </w:tc>
      </w:tr>
      <w:tr w:rsidR="00CF425A" w14:paraId="679F2368" w14:textId="77777777" w:rsidTr="00181153">
        <w:tc>
          <w:tcPr>
            <w:tcW w:w="3402" w:type="dxa"/>
          </w:tcPr>
          <w:p w14:paraId="197149B2" w14:textId="553BEBD5" w:rsidR="00CF425A" w:rsidRDefault="00CF425A" w:rsidP="00CF425A">
            <w:pPr>
              <w:spacing w:before="120" w:after="120"/>
              <w:rPr>
                <w:lang w:val="en-GB"/>
              </w:rPr>
            </w:pPr>
            <w:r w:rsidRPr="00597362">
              <w:t>The Commission fails to maintain control or security of its cyber, physical and information assets.</w:t>
            </w:r>
          </w:p>
        </w:tc>
        <w:tc>
          <w:tcPr>
            <w:tcW w:w="5670" w:type="dxa"/>
          </w:tcPr>
          <w:p w14:paraId="2A24FA32" w14:textId="76D321D1" w:rsidR="00CF425A" w:rsidRDefault="00CF425A" w:rsidP="00CF425A">
            <w:pPr>
              <w:spacing w:before="120" w:after="120"/>
              <w:rPr>
                <w:lang w:val="en-GB"/>
              </w:rPr>
            </w:pPr>
            <w:r w:rsidRPr="00597362">
              <w:t>The Commission has frameworks in place that ensures adequate and effective controls are in place to manage the risks and mitigate the impacts of any threats relating to physical and information assets.</w:t>
            </w:r>
          </w:p>
        </w:tc>
      </w:tr>
      <w:tr w:rsidR="00CF425A" w14:paraId="1915942B" w14:textId="77777777" w:rsidTr="00181153">
        <w:trPr>
          <w:cnfStyle w:val="000000100000" w:firstRow="0" w:lastRow="0" w:firstColumn="0" w:lastColumn="0" w:oddVBand="0" w:evenVBand="0" w:oddHBand="1" w:evenHBand="0" w:firstRowFirstColumn="0" w:firstRowLastColumn="0" w:lastRowFirstColumn="0" w:lastRowLastColumn="0"/>
        </w:trPr>
        <w:tc>
          <w:tcPr>
            <w:tcW w:w="3402" w:type="dxa"/>
          </w:tcPr>
          <w:p w14:paraId="3DB143C7" w14:textId="172CB26C" w:rsidR="00CF425A" w:rsidRDefault="00CF425A" w:rsidP="00CF425A">
            <w:pPr>
              <w:spacing w:before="120" w:after="120"/>
              <w:rPr>
                <w:lang w:val="en-GB"/>
              </w:rPr>
            </w:pPr>
            <w:r w:rsidRPr="00B21E8B">
              <w:t>The Commission fails to attract, retain or maintain sufficient workforce capability.</w:t>
            </w:r>
          </w:p>
        </w:tc>
        <w:tc>
          <w:tcPr>
            <w:tcW w:w="5670" w:type="dxa"/>
          </w:tcPr>
          <w:p w14:paraId="5481F80B" w14:textId="28C59A59" w:rsidR="00CF425A" w:rsidRDefault="00CF425A" w:rsidP="00CF425A">
            <w:pPr>
              <w:spacing w:before="120" w:after="120"/>
              <w:rPr>
                <w:lang w:val="en-GB"/>
              </w:rPr>
            </w:pPr>
            <w:r w:rsidRPr="00B21E8B">
              <w:t>The Commission regularly assesses and reviews its capability needs based on its operational requirements, risks and opportunities, and the skills required to ensure that objectives and obligations are met.</w:t>
            </w:r>
          </w:p>
        </w:tc>
      </w:tr>
      <w:tr w:rsidR="00CF425A" w14:paraId="1FBBDFB5" w14:textId="77777777" w:rsidTr="00181153">
        <w:tc>
          <w:tcPr>
            <w:tcW w:w="3402" w:type="dxa"/>
          </w:tcPr>
          <w:p w14:paraId="3DFF08D8" w14:textId="2250BF53" w:rsidR="00CF425A" w:rsidRDefault="00CF425A" w:rsidP="00CF425A">
            <w:pPr>
              <w:spacing w:before="120" w:after="120"/>
              <w:rPr>
                <w:lang w:val="en-GB"/>
              </w:rPr>
            </w:pPr>
            <w:r w:rsidRPr="00761EC3">
              <w:lastRenderedPageBreak/>
              <w:t>The Commission fails to establish organisational systems of control.</w:t>
            </w:r>
          </w:p>
        </w:tc>
        <w:tc>
          <w:tcPr>
            <w:tcW w:w="5670" w:type="dxa"/>
          </w:tcPr>
          <w:p w14:paraId="7C032553" w14:textId="545B96DE" w:rsidR="00CF425A" w:rsidRDefault="00CF425A" w:rsidP="00CF425A">
            <w:pPr>
              <w:spacing w:before="120" w:after="120"/>
              <w:rPr>
                <w:lang w:val="en-GB"/>
              </w:rPr>
            </w:pPr>
            <w:r w:rsidRPr="00761EC3">
              <w:t>The Commission's overall control environment ensures that it meets its objectives and functions as well as promoting ongoing improvement to processes and outcomes. This includes a robust governance structure with additional oversight from the Audit and Risk Committee, internal audit activities, and external oversight by the Inspector and</w:t>
            </w:r>
            <w:r w:rsidR="00AB7525">
              <w:t xml:space="preserve"> </w:t>
            </w:r>
            <w:r w:rsidRPr="00761EC3">
              <w:t>PJC</w:t>
            </w:r>
            <w:r w:rsidRPr="00761EC3">
              <w:rPr>
                <w:rFonts w:ascii="Cambria Math" w:hAnsi="Cambria Math" w:cs="Cambria Math"/>
              </w:rPr>
              <w:t>‑</w:t>
            </w:r>
            <w:r w:rsidRPr="00761EC3">
              <w:t>NACC.</w:t>
            </w:r>
          </w:p>
        </w:tc>
      </w:tr>
      <w:tr w:rsidR="00CF425A" w14:paraId="4C7B81AD" w14:textId="77777777" w:rsidTr="00181153">
        <w:trPr>
          <w:cnfStyle w:val="000000100000" w:firstRow="0" w:lastRow="0" w:firstColumn="0" w:lastColumn="0" w:oddVBand="0" w:evenVBand="0" w:oddHBand="1" w:evenHBand="0" w:firstRowFirstColumn="0" w:firstRowLastColumn="0" w:lastRowFirstColumn="0" w:lastRowLastColumn="0"/>
        </w:trPr>
        <w:tc>
          <w:tcPr>
            <w:tcW w:w="3402" w:type="dxa"/>
          </w:tcPr>
          <w:p w14:paraId="64A03FCE" w14:textId="1AAA0EAA" w:rsidR="00CF425A" w:rsidRDefault="00CF425A" w:rsidP="00CF425A">
            <w:pPr>
              <w:spacing w:before="120" w:after="120"/>
              <w:rPr>
                <w:lang w:val="en-GB"/>
              </w:rPr>
            </w:pPr>
            <w:r w:rsidRPr="00327A31">
              <w:t>Excessive or serious instances of preventable physical or wellbeing injuries to our people or those who interact with the</w:t>
            </w:r>
            <w:r w:rsidR="00AB7525">
              <w:t xml:space="preserve"> </w:t>
            </w:r>
            <w:r w:rsidRPr="00327A31">
              <w:t>Commission.</w:t>
            </w:r>
          </w:p>
        </w:tc>
        <w:tc>
          <w:tcPr>
            <w:tcW w:w="5670" w:type="dxa"/>
          </w:tcPr>
          <w:p w14:paraId="72BCB513" w14:textId="5A170EFA" w:rsidR="00CF425A" w:rsidRDefault="00CF425A" w:rsidP="00CF425A">
            <w:pPr>
              <w:spacing w:before="120" w:after="120"/>
              <w:rPr>
                <w:lang w:val="en-GB"/>
              </w:rPr>
            </w:pPr>
            <w:r w:rsidRPr="00327A31">
              <w:t>The Commission takes a zero-tolerance approach to risks associated with the health, safety and wellbeing of staff and parties who interact with it. As well as frameworks ensuring compliance with work health safety requirements, the Commission focusses on consultation and collaboration with staff and stakeholders to ensure the maintenance of a safe and healthy workplace. Witness Liaison Officers provide further support to those who interact with the Commission.</w:t>
            </w:r>
          </w:p>
        </w:tc>
      </w:tr>
      <w:tr w:rsidR="00CF425A" w14:paraId="5EB717DE" w14:textId="77777777" w:rsidTr="00181153">
        <w:tc>
          <w:tcPr>
            <w:tcW w:w="3402" w:type="dxa"/>
          </w:tcPr>
          <w:p w14:paraId="68559DEA" w14:textId="7C4B72A8" w:rsidR="00CF425A" w:rsidRDefault="00CF425A" w:rsidP="00CF425A">
            <w:pPr>
              <w:spacing w:before="120" w:after="120"/>
              <w:rPr>
                <w:lang w:val="en-GB"/>
              </w:rPr>
            </w:pPr>
            <w:r w:rsidRPr="003A564E">
              <w:t>The Commission does not have an ongoing sustainable funding and resource model to meet its statutory requirements in the medium and long term.</w:t>
            </w:r>
          </w:p>
        </w:tc>
        <w:tc>
          <w:tcPr>
            <w:tcW w:w="5670" w:type="dxa"/>
          </w:tcPr>
          <w:p w14:paraId="379809A7" w14:textId="757A86E5" w:rsidR="00CF425A" w:rsidRDefault="00CF425A" w:rsidP="00CF425A">
            <w:pPr>
              <w:spacing w:before="120" w:after="120"/>
              <w:rPr>
                <w:lang w:val="en-GB"/>
              </w:rPr>
            </w:pPr>
            <w:r w:rsidRPr="003A564E">
              <w:t>The Commission embeds continual review and monitoring of expenditure into the internal budget process. In addition, effective financial management and resource utilisation are key oversight components of the Corporate Governance and Audit and Risk Committees. The functions of the PJC</w:t>
            </w:r>
            <w:r w:rsidRPr="003A564E">
              <w:rPr>
                <w:rFonts w:ascii="Cambria Math" w:hAnsi="Cambria Math" w:cs="Cambria Math"/>
              </w:rPr>
              <w:t>‑</w:t>
            </w:r>
            <w:r w:rsidRPr="003A564E">
              <w:t>NACC include reviewing the sufficiency of the Commission</w:t>
            </w:r>
            <w:r w:rsidRPr="003A564E">
              <w:rPr>
                <w:rFonts w:ascii="Aptos" w:hAnsi="Aptos" w:cs="Aptos"/>
              </w:rPr>
              <w:t>’</w:t>
            </w:r>
            <w:r w:rsidRPr="003A564E">
              <w:t>s budget and finances.</w:t>
            </w:r>
          </w:p>
        </w:tc>
      </w:tr>
      <w:tr w:rsidR="00CF425A" w14:paraId="141D9576" w14:textId="77777777" w:rsidTr="00181153">
        <w:trPr>
          <w:cnfStyle w:val="000000100000" w:firstRow="0" w:lastRow="0" w:firstColumn="0" w:lastColumn="0" w:oddVBand="0" w:evenVBand="0" w:oddHBand="1" w:evenHBand="0" w:firstRowFirstColumn="0" w:firstRowLastColumn="0" w:lastRowFirstColumn="0" w:lastRowLastColumn="0"/>
        </w:trPr>
        <w:tc>
          <w:tcPr>
            <w:tcW w:w="3402" w:type="dxa"/>
          </w:tcPr>
          <w:p w14:paraId="6EF3823C" w14:textId="77DCEF8D" w:rsidR="00CF425A" w:rsidRDefault="00CF425A" w:rsidP="00CF425A">
            <w:pPr>
              <w:spacing w:before="120" w:after="120"/>
              <w:rPr>
                <w:lang w:val="en-GB"/>
              </w:rPr>
            </w:pPr>
            <w:r w:rsidRPr="009128EB">
              <w:lastRenderedPageBreak/>
              <w:t>The Commission fails to provide independent assurance to the Australian community that corrupt conduct involving Commonwealth public officials is prevented, detected, investigated and responded to appropriately.</w:t>
            </w:r>
          </w:p>
        </w:tc>
        <w:tc>
          <w:tcPr>
            <w:tcW w:w="5670" w:type="dxa"/>
          </w:tcPr>
          <w:p w14:paraId="0ED81EAD" w14:textId="71DEE416" w:rsidR="00CF425A" w:rsidRDefault="00CF425A" w:rsidP="00CF425A">
            <w:pPr>
              <w:spacing w:before="120" w:after="120"/>
              <w:rPr>
                <w:lang w:val="en-GB"/>
              </w:rPr>
            </w:pPr>
            <w:r w:rsidRPr="009128EB">
              <w:t>The Commission provides assurance to the public through regular media communications, stakeholder engagement and educational resources. The Inspector of the NACC and PJC</w:t>
            </w:r>
            <w:r w:rsidRPr="009128EB">
              <w:rPr>
                <w:rFonts w:ascii="Cambria Math" w:hAnsi="Cambria Math" w:cs="Cambria Math"/>
              </w:rPr>
              <w:t>‑</w:t>
            </w:r>
            <w:r w:rsidRPr="009128EB">
              <w:t>NACC have oversight powers to examine and report on the effectiveness of the Commission</w:t>
            </w:r>
            <w:r w:rsidRPr="009128EB">
              <w:rPr>
                <w:rFonts w:ascii="Aptos" w:hAnsi="Aptos" w:cs="Aptos"/>
              </w:rPr>
              <w:t>’</w:t>
            </w:r>
            <w:r w:rsidRPr="009128EB">
              <w:t>s approach and activities.</w:t>
            </w:r>
          </w:p>
        </w:tc>
      </w:tr>
      <w:tr w:rsidR="00CF425A" w14:paraId="2B710EF3" w14:textId="77777777" w:rsidTr="00181153">
        <w:tc>
          <w:tcPr>
            <w:tcW w:w="3402" w:type="dxa"/>
          </w:tcPr>
          <w:p w14:paraId="0051FC2F" w14:textId="337AC22E" w:rsidR="00CF425A" w:rsidRDefault="00CF425A" w:rsidP="00CF425A">
            <w:pPr>
              <w:spacing w:before="120" w:after="120"/>
              <w:rPr>
                <w:lang w:val="en-GB"/>
              </w:rPr>
            </w:pPr>
            <w:r w:rsidRPr="00BC6704">
              <w:t>The Commission fails to maintain awareness of, and seek solutions to, technological changes which impact its ability to collect evidence and intelligence as part of its investigations.</w:t>
            </w:r>
          </w:p>
        </w:tc>
        <w:tc>
          <w:tcPr>
            <w:tcW w:w="5670" w:type="dxa"/>
          </w:tcPr>
          <w:p w14:paraId="64444DFF" w14:textId="07783DE0" w:rsidR="00CF425A" w:rsidRDefault="00CF425A" w:rsidP="00CF425A">
            <w:pPr>
              <w:spacing w:before="120" w:after="120"/>
              <w:rPr>
                <w:lang w:val="en-GB"/>
              </w:rPr>
            </w:pPr>
            <w:r w:rsidRPr="00BC6704">
              <w:t xml:space="preserve">The Commission works closely with partner agencies and other experts to ensure that we are aware of, and </w:t>
            </w:r>
            <w:proofErr w:type="gramStart"/>
            <w:r w:rsidRPr="00BC6704">
              <w:t>are able to</w:t>
            </w:r>
            <w:proofErr w:type="gramEnd"/>
            <w:r w:rsidRPr="00BC6704">
              <w:t xml:space="preserve"> use where appropriate, new technologies to ensure our collection activities are not eroded. This includes chairing a Community of Practice with State and Territory integrity agencies to share information on these challenges. Frequent, targeted training is also provided to our staff.</w:t>
            </w:r>
          </w:p>
        </w:tc>
      </w:tr>
    </w:tbl>
    <w:p w14:paraId="3105CFEA" w14:textId="77777777" w:rsidR="00181153" w:rsidRPr="00181153" w:rsidRDefault="00181153" w:rsidP="00AB7525">
      <w:pPr>
        <w:pStyle w:val="Heading3"/>
        <w:spacing w:before="360" w:after="240"/>
        <w:rPr>
          <w:lang w:val="en-GB"/>
        </w:rPr>
      </w:pPr>
      <w:r w:rsidRPr="00181153">
        <w:rPr>
          <w:lang w:val="en-GB"/>
        </w:rPr>
        <w:t>Governance</w:t>
      </w:r>
    </w:p>
    <w:p w14:paraId="4706202B" w14:textId="77777777" w:rsidR="00181153" w:rsidRPr="00181153" w:rsidRDefault="00181153" w:rsidP="00181153">
      <w:pPr>
        <w:rPr>
          <w:lang w:val="en-GB"/>
        </w:rPr>
      </w:pPr>
      <w:r w:rsidRPr="00181153">
        <w:rPr>
          <w:lang w:val="en-GB"/>
        </w:rPr>
        <w:t>The Commission’s governance structure provides a framework to identify, prevent, mitigate and report on enterprise and operational risks and promotes active engagement in the risk management process. While it is not possible to have a completely risk-free operating environment, the Commission is focused on further embedding the framework and developing the Commission’s risk culture and maturity.</w:t>
      </w:r>
    </w:p>
    <w:p w14:paraId="510CFB7E" w14:textId="14D2B48D" w:rsidR="00181153" w:rsidRPr="00181153" w:rsidRDefault="00181153" w:rsidP="00181153">
      <w:pPr>
        <w:rPr>
          <w:lang w:val="en-GB"/>
        </w:rPr>
      </w:pPr>
      <w:r w:rsidRPr="00181153">
        <w:rPr>
          <w:lang w:val="en-GB"/>
        </w:rPr>
        <w:t xml:space="preserve">The Commission’s Governance Framework comprises 2 streams covering corporate and operational governance. The Executive Leadership </w:t>
      </w:r>
      <w:r w:rsidRPr="00181153">
        <w:rPr>
          <w:lang w:val="en-GB"/>
        </w:rPr>
        <w:lastRenderedPageBreak/>
        <w:t>Committee provides strategic oversight of the Commission’s corporate and operational governance frameworks. The Commissioner chairs the Executive Leadership Committee and the Operations Governance Committee. The CEO chairs the Corporate Governance Committee and has established the WHS Committee and Consultative Committee in line with his responsibilities as</w:t>
      </w:r>
      <w:r w:rsidR="00AB7525">
        <w:rPr>
          <w:lang w:val="en-GB"/>
        </w:rPr>
        <w:t xml:space="preserve"> </w:t>
      </w:r>
      <w:r w:rsidRPr="00181153">
        <w:rPr>
          <w:lang w:val="en-GB"/>
        </w:rPr>
        <w:t>accountable authority.</w:t>
      </w:r>
    </w:p>
    <w:p w14:paraId="7A1903DC" w14:textId="77777777" w:rsidR="00181153" w:rsidRPr="00181153" w:rsidRDefault="00181153" w:rsidP="00181153">
      <w:pPr>
        <w:rPr>
          <w:lang w:val="en-GB"/>
        </w:rPr>
      </w:pPr>
      <w:r w:rsidRPr="00181153">
        <w:rPr>
          <w:lang w:val="en-GB"/>
        </w:rPr>
        <w:t xml:space="preserve">The Audit and Risk Committee </w:t>
      </w:r>
      <w:proofErr w:type="gramStart"/>
      <w:r w:rsidRPr="00181153">
        <w:rPr>
          <w:lang w:val="en-GB"/>
        </w:rPr>
        <w:t>supports</w:t>
      </w:r>
      <w:proofErr w:type="gramEnd"/>
      <w:r w:rsidRPr="00181153">
        <w:rPr>
          <w:lang w:val="en-GB"/>
        </w:rPr>
        <w:t xml:space="preserve"> the Accountable Authority by providing independent assurance to the accountable authority on the appropriateness of the Commission’s financial and performance reporting and systems of internal control, including risk management.</w:t>
      </w:r>
    </w:p>
    <w:p w14:paraId="09CA5219" w14:textId="77777777" w:rsidR="002209C8" w:rsidRPr="00E90EA6" w:rsidRDefault="002209C8" w:rsidP="00E90EA6">
      <w:pPr>
        <w:pStyle w:val="Heading4"/>
        <w:rPr>
          <w:b w:val="0"/>
          <w:bCs/>
        </w:rPr>
      </w:pPr>
      <w:r w:rsidRPr="00E90EA6">
        <w:rPr>
          <w:color w:val="1B598C" w:themeColor="text1"/>
        </w:rPr>
        <w:t xml:space="preserve">Figure 3: </w:t>
      </w:r>
      <w:r w:rsidRPr="00E90EA6">
        <w:rPr>
          <w:b w:val="0"/>
          <w:bCs/>
        </w:rPr>
        <w:t>Governance structure</w:t>
      </w:r>
    </w:p>
    <w:p w14:paraId="12544395" w14:textId="77777777" w:rsidR="00E90EA6" w:rsidRDefault="002209C8" w:rsidP="00E90EA6">
      <w:pPr>
        <w:jc w:val="center"/>
        <w:rPr>
          <w:lang w:val="en-GB"/>
        </w:rPr>
      </w:pPr>
      <w:r w:rsidRPr="002209C8">
        <w:rPr>
          <w:noProof/>
          <w:lang w:val="en-GB"/>
        </w:rPr>
        <w:drawing>
          <wp:inline distT="0" distB="0" distL="0" distR="0" wp14:anchorId="519438AE" wp14:editId="45565117">
            <wp:extent cx="5196689" cy="2522350"/>
            <wp:effectExtent l="0" t="0" r="4445" b="0"/>
            <wp:docPr id="297464487" name="Picture 1" descr="A structure chart showing 3 levels. At the top level are the CEO and Commissioner connected to each other. On the second level, the Audit and risk committee is connected to the CEO, the Executive Leadership Committee is connected to the CEO and Commissioner. On the third level, the Corporate Governance, WHS, and Consultative committees are connected to the CEO, the Operations Governance Committee is connected to th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64487" name="Picture 1" descr="A structure chart showing 3 levels. At the top level are the CEO and Commissioner connected to each other. On the second level, the Audit and risk committee is connected to the CEO, the Executive Leadership Committee is connected to the CEO and Commissioner. On the third level, the Corporate Governance, WHS, and Consultative committees are connected to the CEO, the Operations Governance Committee is connected to the Commission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9284" cy="2552732"/>
                    </a:xfrm>
                    <a:prstGeom prst="rect">
                      <a:avLst/>
                    </a:prstGeom>
                  </pic:spPr>
                </pic:pic>
              </a:graphicData>
            </a:graphic>
          </wp:inline>
        </w:drawing>
      </w:r>
      <w:bookmarkStart w:id="70" w:name="_Toc221793674"/>
      <w:bookmarkStart w:id="71" w:name="_Toc221793694"/>
      <w:r w:rsidR="00E90EA6">
        <w:rPr>
          <w:lang w:val="en-GB"/>
        </w:rPr>
        <w:br w:type="page"/>
      </w:r>
    </w:p>
    <w:p w14:paraId="0CAFEC13" w14:textId="50A984B0" w:rsidR="002209C8" w:rsidRPr="002209C8" w:rsidRDefault="002209C8" w:rsidP="00E90EA6">
      <w:pPr>
        <w:pStyle w:val="Heading2"/>
        <w:spacing w:before="360" w:after="240"/>
        <w:rPr>
          <w:lang w:val="en-GB"/>
        </w:rPr>
      </w:pPr>
      <w:bookmarkStart w:id="72" w:name="_Toc221801465"/>
      <w:r w:rsidRPr="002209C8">
        <w:rPr>
          <w:lang w:val="en-GB"/>
        </w:rPr>
        <w:lastRenderedPageBreak/>
        <w:t>Performance</w:t>
      </w:r>
      <w:bookmarkEnd w:id="70"/>
      <w:bookmarkEnd w:id="71"/>
      <w:bookmarkEnd w:id="72"/>
    </w:p>
    <w:p w14:paraId="540047C7" w14:textId="77777777" w:rsidR="002209C8" w:rsidRPr="002209C8" w:rsidRDefault="002209C8" w:rsidP="00AB7525">
      <w:pPr>
        <w:pStyle w:val="Heading3"/>
        <w:spacing w:before="360" w:after="240"/>
        <w:rPr>
          <w:lang w:val="en-GB"/>
        </w:rPr>
      </w:pPr>
      <w:r w:rsidRPr="002209C8">
        <w:rPr>
          <w:lang w:val="en-GB"/>
        </w:rPr>
        <w:t>Performance measures and targets</w:t>
      </w:r>
    </w:p>
    <w:p w14:paraId="610E433E" w14:textId="77777777" w:rsidR="00B97925" w:rsidRDefault="00B97925" w:rsidP="00B97925">
      <w:r>
        <w:t>The Commission has 3 key performance indicators (KPIs) for 2025–26 included in the Portfolio Budget Statements. These KPIs are linked to the Commission’s key activities.</w:t>
      </w:r>
    </w:p>
    <w:p w14:paraId="3D8B9258" w14:textId="333F5A0A" w:rsidR="00B97925" w:rsidRDefault="00B97925" w:rsidP="00893CCC">
      <w:r>
        <w:t>Targets are per each financial year across the</w:t>
      </w:r>
      <w:r w:rsidR="00AB7525">
        <w:t xml:space="preserve"> </w:t>
      </w:r>
      <w:r>
        <w:t>life of the plan.</w:t>
      </w:r>
    </w:p>
    <w:p w14:paraId="4C4AEBDF" w14:textId="5132F2CC" w:rsidR="002209C8" w:rsidRPr="00E90EA6" w:rsidRDefault="00B97925" w:rsidP="00E90EA6">
      <w:pPr>
        <w:pStyle w:val="Heading4"/>
        <w:rPr>
          <w:b w:val="0"/>
          <w:bCs/>
        </w:rPr>
      </w:pPr>
      <w:r w:rsidRPr="00E90EA6">
        <w:rPr>
          <w:color w:val="1B598C" w:themeColor="text1"/>
        </w:rPr>
        <w:t>KPI 1.1</w:t>
      </w:r>
      <w:r w:rsidR="002209C8" w:rsidRPr="00E90EA6">
        <w:rPr>
          <w:color w:val="1B598C" w:themeColor="text1"/>
        </w:rPr>
        <w:t xml:space="preserve"> </w:t>
      </w:r>
      <w:r w:rsidR="002209C8" w:rsidRPr="00E90EA6">
        <w:rPr>
          <w:b w:val="0"/>
          <w:bCs/>
        </w:rPr>
        <w:t>Percentage of referrals assessed within 90 days of receipt</w:t>
      </w:r>
    </w:p>
    <w:tbl>
      <w:tblPr>
        <w:tblStyle w:val="CorporatePlan"/>
        <w:tblW w:w="9638" w:type="dxa"/>
        <w:tblBorders>
          <w:top w:val="single" w:sz="2" w:space="0" w:color="2F3A48" w:themeColor="text2"/>
        </w:tblBorders>
        <w:tblLayout w:type="fixed"/>
        <w:tblLook w:val="0480" w:firstRow="0" w:lastRow="0" w:firstColumn="1" w:lastColumn="0" w:noHBand="0" w:noVBand="1"/>
      </w:tblPr>
      <w:tblGrid>
        <w:gridCol w:w="2552"/>
        <w:gridCol w:w="7086"/>
      </w:tblGrid>
      <w:tr w:rsidR="004A4A70" w:rsidRPr="00330793" w14:paraId="2D12723C"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226D4AC5" w14:textId="77777777" w:rsidR="00330793" w:rsidRPr="00E90EA6" w:rsidRDefault="00330793" w:rsidP="005F7944">
            <w:pPr>
              <w:spacing w:before="120" w:after="120"/>
              <w:rPr>
                <w:rFonts w:ascii="Work Sans Medium" w:hAnsi="Work Sans Medium"/>
                <w:b w:val="0"/>
                <w:lang w:val="en-GB"/>
              </w:rPr>
            </w:pPr>
            <w:r w:rsidRPr="00E90EA6">
              <w:rPr>
                <w:rFonts w:ascii="Work Sans Medium" w:hAnsi="Work Sans Medium"/>
                <w:b w:val="0"/>
                <w:lang w:val="en-GB"/>
              </w:rPr>
              <w:t>Target</w:t>
            </w:r>
          </w:p>
        </w:tc>
        <w:tc>
          <w:tcPr>
            <w:tcW w:w="7086" w:type="dxa"/>
          </w:tcPr>
          <w:p w14:paraId="55DA26E1" w14:textId="035D51FD" w:rsidR="00330793" w:rsidRPr="00330793" w:rsidRDefault="00330793" w:rsidP="005F7944">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330793">
              <w:rPr>
                <w:lang w:val="en-GB"/>
              </w:rPr>
              <w:t>80%</w:t>
            </w:r>
          </w:p>
        </w:tc>
      </w:tr>
      <w:tr w:rsidR="00893CCC" w:rsidRPr="00330793" w14:paraId="7E6ABBFA"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37B5423C" w14:textId="04347AA5" w:rsidR="00893CCC" w:rsidRPr="00E90EA6" w:rsidRDefault="00893CCC" w:rsidP="00893CCC">
            <w:pPr>
              <w:spacing w:before="120" w:after="120"/>
              <w:rPr>
                <w:rFonts w:ascii="Work Sans Medium" w:hAnsi="Work Sans Medium"/>
                <w:b w:val="0"/>
                <w:lang w:val="en-GB"/>
              </w:rPr>
            </w:pPr>
            <w:r w:rsidRPr="00E90EA6">
              <w:rPr>
                <w:rFonts w:ascii="Work Sans Medium" w:hAnsi="Work Sans Medium"/>
                <w:b w:val="0"/>
              </w:rPr>
              <w:t>Key activity</w:t>
            </w:r>
          </w:p>
        </w:tc>
        <w:tc>
          <w:tcPr>
            <w:tcW w:w="7086" w:type="dxa"/>
          </w:tcPr>
          <w:p w14:paraId="3FBADADA" w14:textId="1690E466" w:rsidR="00893CCC" w:rsidRPr="00330793" w:rsidRDefault="00893CCC" w:rsidP="00893CCC">
            <w:pPr>
              <w:spacing w:before="120" w:after="120"/>
              <w:cnfStyle w:val="000000000000" w:firstRow="0" w:lastRow="0" w:firstColumn="0" w:lastColumn="0" w:oddVBand="0" w:evenVBand="0" w:oddHBand="0" w:evenHBand="0" w:firstRowFirstColumn="0" w:firstRowLastColumn="0" w:lastRowFirstColumn="0" w:lastRowLastColumn="0"/>
              <w:rPr>
                <w:lang w:val="en-GB"/>
              </w:rPr>
            </w:pPr>
            <w:r w:rsidRPr="00550942">
              <w:t>2. Receiving and assessing referrals of alleged corrupt conduct.</w:t>
            </w:r>
          </w:p>
        </w:tc>
      </w:tr>
      <w:tr w:rsidR="00893CCC" w:rsidRPr="00330793" w14:paraId="4F598428"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5FBA5D67" w14:textId="14BA63DE" w:rsidR="00893CCC" w:rsidRPr="00E90EA6" w:rsidRDefault="00893CCC" w:rsidP="00893CCC">
            <w:pPr>
              <w:spacing w:before="120" w:after="120"/>
              <w:rPr>
                <w:rFonts w:ascii="Work Sans Medium" w:hAnsi="Work Sans Medium"/>
                <w:b w:val="0"/>
                <w:lang w:val="en-GB"/>
              </w:rPr>
            </w:pPr>
            <w:r w:rsidRPr="00E90EA6">
              <w:rPr>
                <w:rFonts w:ascii="Work Sans Medium" w:hAnsi="Work Sans Medium"/>
                <w:b w:val="0"/>
              </w:rPr>
              <w:t>Type of measure</w:t>
            </w:r>
          </w:p>
        </w:tc>
        <w:tc>
          <w:tcPr>
            <w:tcW w:w="7086" w:type="dxa"/>
          </w:tcPr>
          <w:p w14:paraId="0B9E34BA" w14:textId="0E8D1313" w:rsidR="00893CCC" w:rsidRPr="00330793" w:rsidRDefault="00893CCC" w:rsidP="00893CCC">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E61EDB">
              <w:t>Productivity</w:t>
            </w:r>
          </w:p>
        </w:tc>
      </w:tr>
      <w:tr w:rsidR="00893CCC" w:rsidRPr="00330793" w14:paraId="37FCC252"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382FE266" w14:textId="6DB41221" w:rsidR="00893CCC" w:rsidRPr="00E90EA6" w:rsidRDefault="00893CCC" w:rsidP="00893CCC">
            <w:pPr>
              <w:spacing w:before="120" w:after="120"/>
              <w:rPr>
                <w:rFonts w:ascii="Work Sans Medium" w:hAnsi="Work Sans Medium"/>
                <w:b w:val="0"/>
                <w:lang w:val="en-GB"/>
              </w:rPr>
            </w:pPr>
            <w:r w:rsidRPr="00E90EA6">
              <w:rPr>
                <w:rFonts w:ascii="Work Sans Medium" w:hAnsi="Work Sans Medium"/>
                <w:b w:val="0"/>
              </w:rPr>
              <w:t>Target rationale</w:t>
            </w:r>
          </w:p>
        </w:tc>
        <w:tc>
          <w:tcPr>
            <w:tcW w:w="7086" w:type="dxa"/>
          </w:tcPr>
          <w:p w14:paraId="200D442A" w14:textId="1A8208F3" w:rsidR="00893CCC" w:rsidRPr="00330793" w:rsidRDefault="00893CCC" w:rsidP="00893CCC">
            <w:pPr>
              <w:spacing w:before="120" w:after="120"/>
              <w:cnfStyle w:val="000000000000" w:firstRow="0" w:lastRow="0" w:firstColumn="0" w:lastColumn="0" w:oddVBand="0" w:evenVBand="0" w:oddHBand="0" w:evenHBand="0" w:firstRowFirstColumn="0" w:firstRowLastColumn="0" w:lastRowFirstColumn="0" w:lastRowLastColumn="0"/>
              <w:rPr>
                <w:lang w:val="en-GB"/>
              </w:rPr>
            </w:pPr>
            <w:r w:rsidRPr="00C62905">
              <w:t>Efficiently actioning concerns from the public and progressing these, where appropriate, to investigation in a timely manner.</w:t>
            </w:r>
          </w:p>
        </w:tc>
      </w:tr>
      <w:tr w:rsidR="00893CCC" w:rsidRPr="00330793" w14:paraId="28B4C386"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76B78D11" w14:textId="2EE037E9" w:rsidR="00893CCC" w:rsidRPr="00E90EA6" w:rsidRDefault="00893CCC" w:rsidP="00893CCC">
            <w:pPr>
              <w:spacing w:before="120" w:after="120"/>
              <w:rPr>
                <w:rFonts w:ascii="Work Sans Medium" w:hAnsi="Work Sans Medium"/>
                <w:b w:val="0"/>
                <w:lang w:val="en-GB"/>
              </w:rPr>
            </w:pPr>
            <w:r w:rsidRPr="00E90EA6">
              <w:rPr>
                <w:rFonts w:ascii="Work Sans Medium" w:hAnsi="Work Sans Medium"/>
                <w:b w:val="0"/>
              </w:rPr>
              <w:t>Methodology</w:t>
            </w:r>
          </w:p>
        </w:tc>
        <w:tc>
          <w:tcPr>
            <w:tcW w:w="7086" w:type="dxa"/>
          </w:tcPr>
          <w:p w14:paraId="7AABB7BD" w14:textId="71ADCFEC" w:rsidR="00893CCC" w:rsidRPr="00330793" w:rsidRDefault="00893CCC" w:rsidP="00893CCC">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BE50F9">
              <w:t>The result is calculated by taking the number of referrals assessed within 90 days of receipt as a percentage of the total number of referrals assessed during the reporting period.</w:t>
            </w:r>
          </w:p>
        </w:tc>
      </w:tr>
      <w:tr w:rsidR="009445D1" w:rsidRPr="00330793" w14:paraId="12D416D4"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39BDBAE1" w14:textId="7BCF53F9" w:rsidR="00330793" w:rsidRPr="00E90EA6" w:rsidRDefault="00330793" w:rsidP="005F7944">
            <w:pPr>
              <w:spacing w:before="120" w:after="120"/>
              <w:rPr>
                <w:rFonts w:ascii="Work Sans Medium" w:hAnsi="Work Sans Medium"/>
                <w:b w:val="0"/>
                <w:lang w:val="en-GB"/>
              </w:rPr>
            </w:pPr>
            <w:r w:rsidRPr="00E90EA6">
              <w:rPr>
                <w:rFonts w:ascii="Work Sans Medium" w:hAnsi="Work Sans Medium"/>
                <w:b w:val="0"/>
                <w:lang w:val="en-GB"/>
              </w:rPr>
              <w:t>Changes from the previous year</w:t>
            </w:r>
          </w:p>
        </w:tc>
        <w:tc>
          <w:tcPr>
            <w:tcW w:w="7086" w:type="dxa"/>
          </w:tcPr>
          <w:p w14:paraId="3EB7235A" w14:textId="0A9A97F1" w:rsidR="00330793" w:rsidRPr="00330793" w:rsidRDefault="00893CCC" w:rsidP="005F7944">
            <w:pPr>
              <w:spacing w:before="120" w:after="120"/>
              <w:cnfStyle w:val="000000000000" w:firstRow="0" w:lastRow="0" w:firstColumn="0" w:lastColumn="0" w:oddVBand="0" w:evenVBand="0" w:oddHBand="0" w:evenHBand="0" w:firstRowFirstColumn="0" w:firstRowLastColumn="0" w:lastRowFirstColumn="0" w:lastRowLastColumn="0"/>
              <w:rPr>
                <w:lang w:val="en-GB"/>
              </w:rPr>
            </w:pPr>
            <w:r>
              <w:rPr>
                <w:lang w:val="en-GB"/>
              </w:rPr>
              <w:t>Nil.</w:t>
            </w:r>
          </w:p>
        </w:tc>
      </w:tr>
    </w:tbl>
    <w:p w14:paraId="1B30012B" w14:textId="77777777" w:rsidR="00844C77" w:rsidRPr="00844C77" w:rsidRDefault="00844C77" w:rsidP="00E90EA6">
      <w:pPr>
        <w:pStyle w:val="Heading4"/>
        <w:rPr>
          <w:b w:val="0"/>
          <w:bCs/>
          <w:color w:val="auto"/>
        </w:rPr>
      </w:pPr>
      <w:r>
        <w:rPr>
          <w:color w:val="1B598C" w:themeColor="text1"/>
        </w:rPr>
        <w:br w:type="page"/>
      </w:r>
    </w:p>
    <w:p w14:paraId="496D68F6" w14:textId="0B38C025" w:rsidR="002209C8" w:rsidRPr="00E90EA6" w:rsidRDefault="00893CCC" w:rsidP="00E90EA6">
      <w:pPr>
        <w:pStyle w:val="Heading4"/>
        <w:rPr>
          <w:b w:val="0"/>
          <w:bCs/>
        </w:rPr>
      </w:pPr>
      <w:r w:rsidRPr="00E90EA6">
        <w:rPr>
          <w:color w:val="1B598C" w:themeColor="text1"/>
        </w:rPr>
        <w:lastRenderedPageBreak/>
        <w:t xml:space="preserve">KPI 1.2 </w:t>
      </w:r>
      <w:r w:rsidR="002209C8" w:rsidRPr="00E90EA6">
        <w:rPr>
          <w:b w:val="0"/>
          <w:bCs/>
        </w:rPr>
        <w:t>Percentage of investigations finalised within 2 years</w:t>
      </w:r>
    </w:p>
    <w:tbl>
      <w:tblPr>
        <w:tblStyle w:val="CorporatePlan"/>
        <w:tblW w:w="9638" w:type="dxa"/>
        <w:tblBorders>
          <w:top w:val="single" w:sz="2" w:space="0" w:color="2F3A48" w:themeColor="text2"/>
        </w:tblBorders>
        <w:tblLayout w:type="fixed"/>
        <w:tblLook w:val="0480" w:firstRow="0" w:lastRow="0" w:firstColumn="1" w:lastColumn="0" w:noHBand="0" w:noVBand="1"/>
      </w:tblPr>
      <w:tblGrid>
        <w:gridCol w:w="2552"/>
        <w:gridCol w:w="7086"/>
      </w:tblGrid>
      <w:tr w:rsidR="00893CCC" w:rsidRPr="00330793" w14:paraId="66E0BBFF"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7FE7F589" w14:textId="77777777" w:rsidR="00893CCC" w:rsidRPr="00E90EA6" w:rsidRDefault="00893CCC" w:rsidP="00D66834">
            <w:pPr>
              <w:spacing w:before="120" w:after="120"/>
              <w:rPr>
                <w:rFonts w:ascii="Work Sans Medium" w:hAnsi="Work Sans Medium"/>
                <w:b w:val="0"/>
                <w:lang w:val="en-GB"/>
              </w:rPr>
            </w:pPr>
            <w:r w:rsidRPr="00E90EA6">
              <w:rPr>
                <w:rFonts w:ascii="Work Sans Medium" w:hAnsi="Work Sans Medium"/>
                <w:b w:val="0"/>
                <w:lang w:val="en-GB"/>
              </w:rPr>
              <w:t>Target</w:t>
            </w:r>
          </w:p>
        </w:tc>
        <w:tc>
          <w:tcPr>
            <w:tcW w:w="7086" w:type="dxa"/>
          </w:tcPr>
          <w:p w14:paraId="00C37EB6" w14:textId="5AB71A77" w:rsidR="00893CCC" w:rsidRPr="00330793" w:rsidRDefault="00893CCC" w:rsidP="00D66834">
            <w:pPr>
              <w:spacing w:before="120" w:after="120"/>
              <w:cnfStyle w:val="000000100000" w:firstRow="0" w:lastRow="0" w:firstColumn="0" w:lastColumn="0" w:oddVBand="0" w:evenVBand="0" w:oddHBand="1" w:evenHBand="0" w:firstRowFirstColumn="0" w:firstRowLastColumn="0" w:lastRowFirstColumn="0" w:lastRowLastColumn="0"/>
              <w:rPr>
                <w:lang w:val="en-GB"/>
              </w:rPr>
            </w:pPr>
            <w:r>
              <w:rPr>
                <w:lang w:val="en-GB"/>
              </w:rPr>
              <w:t>6</w:t>
            </w:r>
            <w:r w:rsidRPr="00330793">
              <w:rPr>
                <w:lang w:val="en-GB"/>
              </w:rPr>
              <w:t>0%</w:t>
            </w:r>
          </w:p>
        </w:tc>
      </w:tr>
      <w:tr w:rsidR="00893CCC" w:rsidRPr="00330793" w14:paraId="5BF07C0C"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56990219" w14:textId="2558BC7C" w:rsidR="00893CCC" w:rsidRPr="00E90EA6" w:rsidRDefault="00893CCC" w:rsidP="00893CCC">
            <w:pPr>
              <w:spacing w:before="120" w:after="120"/>
              <w:rPr>
                <w:rFonts w:ascii="Work Sans Medium" w:hAnsi="Work Sans Medium"/>
                <w:b w:val="0"/>
                <w:lang w:val="en-GB"/>
              </w:rPr>
            </w:pPr>
            <w:r w:rsidRPr="00E90EA6">
              <w:rPr>
                <w:rFonts w:ascii="Work Sans Medium" w:hAnsi="Work Sans Medium"/>
                <w:b w:val="0"/>
              </w:rPr>
              <w:t>Key activity</w:t>
            </w:r>
          </w:p>
        </w:tc>
        <w:tc>
          <w:tcPr>
            <w:tcW w:w="7086" w:type="dxa"/>
          </w:tcPr>
          <w:p w14:paraId="46F263EE" w14:textId="36716A26" w:rsidR="00893CCC" w:rsidRPr="00330793" w:rsidRDefault="00893CCC" w:rsidP="00893CCC">
            <w:pPr>
              <w:spacing w:before="120" w:after="120"/>
              <w:cnfStyle w:val="000000000000" w:firstRow="0" w:lastRow="0" w:firstColumn="0" w:lastColumn="0" w:oddVBand="0" w:evenVBand="0" w:oddHBand="0" w:evenHBand="0" w:firstRowFirstColumn="0" w:firstRowLastColumn="0" w:lastRowFirstColumn="0" w:lastRowLastColumn="0"/>
              <w:rPr>
                <w:lang w:val="en-GB"/>
              </w:rPr>
            </w:pPr>
            <w:r w:rsidRPr="00841497">
              <w:t>3. Conduct investigations into corruption issues that could involve serious or systemic corrupt conduct.</w:t>
            </w:r>
          </w:p>
        </w:tc>
      </w:tr>
      <w:tr w:rsidR="00893CCC" w:rsidRPr="00330793" w14:paraId="5FA5EE21"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33D3C95A" w14:textId="77777777" w:rsidR="00893CCC" w:rsidRPr="00E90EA6" w:rsidRDefault="00893CCC" w:rsidP="00D66834">
            <w:pPr>
              <w:spacing w:before="120" w:after="120"/>
              <w:rPr>
                <w:rFonts w:ascii="Work Sans Medium" w:hAnsi="Work Sans Medium"/>
                <w:b w:val="0"/>
                <w:lang w:val="en-GB"/>
              </w:rPr>
            </w:pPr>
            <w:r w:rsidRPr="00E90EA6">
              <w:rPr>
                <w:rFonts w:ascii="Work Sans Medium" w:hAnsi="Work Sans Medium"/>
                <w:b w:val="0"/>
              </w:rPr>
              <w:t>Type of measure</w:t>
            </w:r>
          </w:p>
        </w:tc>
        <w:tc>
          <w:tcPr>
            <w:tcW w:w="7086" w:type="dxa"/>
          </w:tcPr>
          <w:p w14:paraId="5EE0583C" w14:textId="77777777" w:rsidR="00893CCC" w:rsidRPr="00330793" w:rsidRDefault="00893CCC" w:rsidP="00D66834">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E61EDB">
              <w:t>Productivity</w:t>
            </w:r>
          </w:p>
        </w:tc>
      </w:tr>
      <w:tr w:rsidR="00893CCC" w:rsidRPr="00330793" w14:paraId="444E244F"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7BAD5D3F" w14:textId="2E1E3F73" w:rsidR="00893CCC" w:rsidRPr="00E90EA6" w:rsidRDefault="00893CCC" w:rsidP="00893CCC">
            <w:pPr>
              <w:spacing w:before="120" w:after="120"/>
              <w:rPr>
                <w:rFonts w:ascii="Work Sans Medium" w:hAnsi="Work Sans Medium"/>
                <w:b w:val="0"/>
                <w:lang w:val="en-GB"/>
              </w:rPr>
            </w:pPr>
            <w:r w:rsidRPr="00E90EA6">
              <w:rPr>
                <w:rFonts w:ascii="Work Sans Medium" w:hAnsi="Work Sans Medium"/>
                <w:b w:val="0"/>
              </w:rPr>
              <w:t>Target rationale</w:t>
            </w:r>
          </w:p>
        </w:tc>
        <w:tc>
          <w:tcPr>
            <w:tcW w:w="7086" w:type="dxa"/>
          </w:tcPr>
          <w:p w14:paraId="44DF445B" w14:textId="742E1CB4" w:rsidR="00893CCC" w:rsidRPr="00330793" w:rsidRDefault="00893CCC" w:rsidP="00893CCC">
            <w:pPr>
              <w:spacing w:before="120" w:after="120"/>
              <w:cnfStyle w:val="000000000000" w:firstRow="0" w:lastRow="0" w:firstColumn="0" w:lastColumn="0" w:oddVBand="0" w:evenVBand="0" w:oddHBand="0" w:evenHBand="0" w:firstRowFirstColumn="0" w:firstRowLastColumn="0" w:lastRowFirstColumn="0" w:lastRowLastColumn="0"/>
              <w:rPr>
                <w:lang w:val="en-GB"/>
              </w:rPr>
            </w:pPr>
            <w:r w:rsidRPr="00E2082C">
              <w:t>Progressing investigations in an efficient manner and supporting the Commission’s purpose to investigate serious or systemic corruption in the Australian Government.</w:t>
            </w:r>
          </w:p>
        </w:tc>
      </w:tr>
      <w:tr w:rsidR="00893CCC" w:rsidRPr="00330793" w14:paraId="2D653E07"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04D3CEF5" w14:textId="688ADA3B" w:rsidR="00893CCC" w:rsidRPr="00E90EA6" w:rsidRDefault="00893CCC" w:rsidP="00893CCC">
            <w:pPr>
              <w:spacing w:before="120" w:after="120"/>
              <w:rPr>
                <w:rFonts w:ascii="Work Sans Medium" w:hAnsi="Work Sans Medium"/>
                <w:b w:val="0"/>
                <w:lang w:val="en-GB"/>
              </w:rPr>
            </w:pPr>
            <w:r w:rsidRPr="00E90EA6">
              <w:rPr>
                <w:rFonts w:ascii="Work Sans Medium" w:hAnsi="Work Sans Medium"/>
                <w:b w:val="0"/>
              </w:rPr>
              <w:t>Methodology</w:t>
            </w:r>
          </w:p>
        </w:tc>
        <w:tc>
          <w:tcPr>
            <w:tcW w:w="7086" w:type="dxa"/>
          </w:tcPr>
          <w:p w14:paraId="4CB741D4" w14:textId="6905920D" w:rsidR="00893CCC" w:rsidRPr="00330793" w:rsidRDefault="00893CCC" w:rsidP="00893CCC">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196F12">
              <w:t>The result is calculated by taking the number of investigations finalised within 2 years during</w:t>
            </w:r>
            <w:r w:rsidR="00AB7525">
              <w:t xml:space="preserve"> </w:t>
            </w:r>
            <w:r w:rsidRPr="00196F12">
              <w:t>the reporting period as a percentage of the total number of investigations finalised</w:t>
            </w:r>
            <w:r w:rsidR="00AB7525">
              <w:t xml:space="preserve"> </w:t>
            </w:r>
            <w:r w:rsidRPr="00196F12">
              <w:t>during the reporting period.</w:t>
            </w:r>
          </w:p>
        </w:tc>
      </w:tr>
      <w:tr w:rsidR="00893CCC" w:rsidRPr="00330793" w14:paraId="491094C2"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20096E7B" w14:textId="77777777" w:rsidR="00893CCC" w:rsidRPr="00E90EA6" w:rsidRDefault="00893CCC" w:rsidP="00D66834">
            <w:pPr>
              <w:spacing w:before="120" w:after="120"/>
              <w:rPr>
                <w:rFonts w:ascii="Work Sans Medium" w:hAnsi="Work Sans Medium"/>
                <w:b w:val="0"/>
                <w:lang w:val="en-GB"/>
              </w:rPr>
            </w:pPr>
            <w:r w:rsidRPr="00E90EA6">
              <w:rPr>
                <w:rFonts w:ascii="Work Sans Medium" w:hAnsi="Work Sans Medium"/>
                <w:b w:val="0"/>
                <w:lang w:val="en-GB"/>
              </w:rPr>
              <w:t>Changes from the previous year</w:t>
            </w:r>
          </w:p>
        </w:tc>
        <w:tc>
          <w:tcPr>
            <w:tcW w:w="7086" w:type="dxa"/>
          </w:tcPr>
          <w:p w14:paraId="24E039A7" w14:textId="77777777" w:rsidR="00893CCC" w:rsidRPr="00330793" w:rsidRDefault="00893CCC" w:rsidP="00D66834">
            <w:pPr>
              <w:spacing w:before="120" w:after="120"/>
              <w:cnfStyle w:val="000000000000" w:firstRow="0" w:lastRow="0" w:firstColumn="0" w:lastColumn="0" w:oddVBand="0" w:evenVBand="0" w:oddHBand="0" w:evenHBand="0" w:firstRowFirstColumn="0" w:firstRowLastColumn="0" w:lastRowFirstColumn="0" w:lastRowLastColumn="0"/>
              <w:rPr>
                <w:lang w:val="en-GB"/>
              </w:rPr>
            </w:pPr>
            <w:r>
              <w:rPr>
                <w:lang w:val="en-GB"/>
              </w:rPr>
              <w:t>Nil.</w:t>
            </w:r>
          </w:p>
        </w:tc>
      </w:tr>
    </w:tbl>
    <w:p w14:paraId="6B3F86CE" w14:textId="77777777" w:rsidR="00AB334A" w:rsidRPr="00844C77" w:rsidRDefault="00AB334A">
      <w:pPr>
        <w:spacing w:before="0" w:after="0" w:line="240" w:lineRule="auto"/>
        <w:rPr>
          <w:rFonts w:asciiTheme="minorHAnsi" w:hAnsiTheme="minorHAnsi"/>
          <w:lang w:val="en-GB"/>
        </w:rPr>
      </w:pPr>
      <w:r>
        <w:rPr>
          <w:bCs/>
        </w:rPr>
        <w:br w:type="page"/>
      </w:r>
    </w:p>
    <w:p w14:paraId="199F2D40" w14:textId="454B0D06" w:rsidR="002209C8" w:rsidRPr="00E90EA6" w:rsidRDefault="00893CCC" w:rsidP="00E90EA6">
      <w:pPr>
        <w:pStyle w:val="Heading4"/>
        <w:rPr>
          <w:b w:val="0"/>
          <w:bCs/>
        </w:rPr>
      </w:pPr>
      <w:r w:rsidRPr="00E90EA6">
        <w:rPr>
          <w:color w:val="1B598C" w:themeColor="text1"/>
        </w:rPr>
        <w:lastRenderedPageBreak/>
        <w:t xml:space="preserve">KPI 1.3 </w:t>
      </w:r>
      <w:r w:rsidR="002209C8" w:rsidRPr="00E90EA6">
        <w:rPr>
          <w:b w:val="0"/>
          <w:bCs/>
        </w:rPr>
        <w:t>Number of corruption prevention and education products and engagements</w:t>
      </w:r>
    </w:p>
    <w:tbl>
      <w:tblPr>
        <w:tblStyle w:val="CorporatePlan"/>
        <w:tblW w:w="9638" w:type="dxa"/>
        <w:tblBorders>
          <w:top w:val="single" w:sz="2" w:space="0" w:color="2F3A48" w:themeColor="text2"/>
        </w:tblBorders>
        <w:tblLayout w:type="fixed"/>
        <w:tblLook w:val="0480" w:firstRow="0" w:lastRow="0" w:firstColumn="1" w:lastColumn="0" w:noHBand="0" w:noVBand="1"/>
      </w:tblPr>
      <w:tblGrid>
        <w:gridCol w:w="2552"/>
        <w:gridCol w:w="7086"/>
      </w:tblGrid>
      <w:tr w:rsidR="00893CCC" w:rsidRPr="00330793" w14:paraId="62BAB96E"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5B9D843B" w14:textId="77777777" w:rsidR="00893CCC" w:rsidRPr="00E90EA6" w:rsidRDefault="00893CCC" w:rsidP="00D66834">
            <w:pPr>
              <w:spacing w:before="120" w:after="120"/>
              <w:rPr>
                <w:rFonts w:ascii="Work Sans Medium" w:hAnsi="Work Sans Medium"/>
                <w:b w:val="0"/>
                <w:lang w:val="en-GB"/>
              </w:rPr>
            </w:pPr>
            <w:r w:rsidRPr="00E90EA6">
              <w:rPr>
                <w:rFonts w:ascii="Work Sans Medium" w:hAnsi="Work Sans Medium"/>
                <w:b w:val="0"/>
                <w:lang w:val="en-GB"/>
              </w:rPr>
              <w:t>Target</w:t>
            </w:r>
          </w:p>
        </w:tc>
        <w:tc>
          <w:tcPr>
            <w:tcW w:w="7086" w:type="dxa"/>
          </w:tcPr>
          <w:p w14:paraId="44E6BBAD" w14:textId="26935DFD" w:rsidR="00893CCC" w:rsidRPr="00330793" w:rsidRDefault="00AB334A" w:rsidP="00D66834">
            <w:pPr>
              <w:spacing w:before="120" w:after="120"/>
              <w:cnfStyle w:val="000000100000" w:firstRow="0" w:lastRow="0" w:firstColumn="0" w:lastColumn="0" w:oddVBand="0" w:evenVBand="0" w:oddHBand="1" w:evenHBand="0" w:firstRowFirstColumn="0" w:firstRowLastColumn="0" w:lastRowFirstColumn="0" w:lastRowLastColumn="0"/>
              <w:rPr>
                <w:lang w:val="en-GB"/>
              </w:rPr>
            </w:pPr>
            <w:r>
              <w:rPr>
                <w:lang w:val="en-GB"/>
              </w:rPr>
              <w:t>100</w:t>
            </w:r>
          </w:p>
        </w:tc>
      </w:tr>
      <w:tr w:rsidR="00AB334A" w:rsidRPr="00330793" w14:paraId="46BBF22D"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3068AC25" w14:textId="4E8314B4" w:rsidR="00AB334A" w:rsidRPr="00E90EA6" w:rsidRDefault="00AB334A" w:rsidP="00AB334A">
            <w:pPr>
              <w:spacing w:before="120" w:after="120"/>
              <w:rPr>
                <w:rFonts w:ascii="Work Sans Medium" w:hAnsi="Work Sans Medium"/>
                <w:b w:val="0"/>
                <w:lang w:val="en-GB"/>
              </w:rPr>
            </w:pPr>
            <w:r w:rsidRPr="00E90EA6">
              <w:rPr>
                <w:rFonts w:ascii="Work Sans Medium" w:hAnsi="Work Sans Medium"/>
                <w:b w:val="0"/>
              </w:rPr>
              <w:t>Key activity</w:t>
            </w:r>
          </w:p>
        </w:tc>
        <w:tc>
          <w:tcPr>
            <w:tcW w:w="7086" w:type="dxa"/>
          </w:tcPr>
          <w:p w14:paraId="3AA0D298" w14:textId="3BF7DCCA" w:rsidR="00AB334A" w:rsidRPr="00330793" w:rsidRDefault="00AB334A" w:rsidP="00AB334A">
            <w:pPr>
              <w:spacing w:before="120" w:after="120"/>
              <w:cnfStyle w:val="000000000000" w:firstRow="0" w:lastRow="0" w:firstColumn="0" w:lastColumn="0" w:oddVBand="0" w:evenVBand="0" w:oddHBand="0" w:evenHBand="0" w:firstRowFirstColumn="0" w:firstRowLastColumn="0" w:lastRowFirstColumn="0" w:lastRowLastColumn="0"/>
              <w:rPr>
                <w:lang w:val="en-GB"/>
              </w:rPr>
            </w:pPr>
            <w:r w:rsidRPr="00181122">
              <w:t>5. Create and disseminate information and education to support corruption prevention.</w:t>
            </w:r>
          </w:p>
        </w:tc>
      </w:tr>
      <w:tr w:rsidR="00893CCC" w:rsidRPr="00330793" w14:paraId="322B4E28"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334683D6" w14:textId="77777777" w:rsidR="00893CCC" w:rsidRPr="00E90EA6" w:rsidRDefault="00893CCC" w:rsidP="00D66834">
            <w:pPr>
              <w:spacing w:before="120" w:after="120"/>
              <w:rPr>
                <w:rFonts w:ascii="Work Sans Medium" w:hAnsi="Work Sans Medium"/>
                <w:b w:val="0"/>
                <w:lang w:val="en-GB"/>
              </w:rPr>
            </w:pPr>
            <w:r w:rsidRPr="00E90EA6">
              <w:rPr>
                <w:rFonts w:ascii="Work Sans Medium" w:hAnsi="Work Sans Medium"/>
                <w:b w:val="0"/>
              </w:rPr>
              <w:t>Type of measure</w:t>
            </w:r>
          </w:p>
        </w:tc>
        <w:tc>
          <w:tcPr>
            <w:tcW w:w="7086" w:type="dxa"/>
          </w:tcPr>
          <w:p w14:paraId="333C7A44" w14:textId="77777777" w:rsidR="00893CCC" w:rsidRPr="00330793" w:rsidRDefault="00893CCC" w:rsidP="00D66834">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E61EDB">
              <w:t>Productivity</w:t>
            </w:r>
          </w:p>
        </w:tc>
      </w:tr>
      <w:tr w:rsidR="00AB334A" w:rsidRPr="00330793" w14:paraId="02A77B63"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42622B00" w14:textId="671F5467" w:rsidR="00AB334A" w:rsidRPr="00E90EA6" w:rsidRDefault="00AB334A" w:rsidP="00AB334A">
            <w:pPr>
              <w:spacing w:before="120" w:after="120"/>
              <w:rPr>
                <w:rFonts w:ascii="Work Sans Medium" w:hAnsi="Work Sans Medium"/>
                <w:b w:val="0"/>
                <w:lang w:val="en-GB"/>
              </w:rPr>
            </w:pPr>
            <w:r w:rsidRPr="00E90EA6">
              <w:rPr>
                <w:rFonts w:ascii="Work Sans Medium" w:hAnsi="Work Sans Medium"/>
                <w:b w:val="0"/>
              </w:rPr>
              <w:t>Target rationale</w:t>
            </w:r>
          </w:p>
        </w:tc>
        <w:tc>
          <w:tcPr>
            <w:tcW w:w="7086" w:type="dxa"/>
          </w:tcPr>
          <w:p w14:paraId="4B186A01" w14:textId="6BF86CD6" w:rsidR="00AB334A" w:rsidRPr="00330793" w:rsidRDefault="00AB334A" w:rsidP="00AB334A">
            <w:pPr>
              <w:spacing w:before="120" w:after="120"/>
              <w:cnfStyle w:val="000000000000" w:firstRow="0" w:lastRow="0" w:firstColumn="0" w:lastColumn="0" w:oddVBand="0" w:evenVBand="0" w:oddHBand="0" w:evenHBand="0" w:firstRowFirstColumn="0" w:firstRowLastColumn="0" w:lastRowFirstColumn="0" w:lastRowLastColumn="0"/>
              <w:rPr>
                <w:lang w:val="en-GB"/>
              </w:rPr>
            </w:pPr>
            <w:r w:rsidRPr="00BC0B44">
              <w:t>In line with the Commission’s purpose, this activity aims to ensure the Commission is providing sufficient materials and support to the other government agencies and the public.</w:t>
            </w:r>
          </w:p>
        </w:tc>
      </w:tr>
      <w:tr w:rsidR="00AB334A" w:rsidRPr="00330793" w14:paraId="55E6FB3E" w14:textId="77777777" w:rsidTr="00844C7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52" w:type="dxa"/>
          </w:tcPr>
          <w:p w14:paraId="6E354254" w14:textId="2278AD82" w:rsidR="00AB334A" w:rsidRPr="00E90EA6" w:rsidRDefault="00AB334A" w:rsidP="00AB334A">
            <w:pPr>
              <w:spacing w:before="120" w:after="120"/>
              <w:rPr>
                <w:rFonts w:ascii="Work Sans Medium" w:hAnsi="Work Sans Medium"/>
                <w:b w:val="0"/>
                <w:lang w:val="en-GB"/>
              </w:rPr>
            </w:pPr>
            <w:r w:rsidRPr="00E90EA6">
              <w:rPr>
                <w:rFonts w:ascii="Work Sans Medium" w:hAnsi="Work Sans Medium"/>
                <w:b w:val="0"/>
              </w:rPr>
              <w:t>Methodology</w:t>
            </w:r>
          </w:p>
        </w:tc>
        <w:tc>
          <w:tcPr>
            <w:tcW w:w="7086" w:type="dxa"/>
          </w:tcPr>
          <w:p w14:paraId="0C3E87A8" w14:textId="7C33075F" w:rsidR="00AB334A" w:rsidRPr="00330793" w:rsidRDefault="00AB334A" w:rsidP="00AB334A">
            <w:pPr>
              <w:spacing w:before="120" w:after="120"/>
              <w:cnfStyle w:val="000000100000" w:firstRow="0" w:lastRow="0" w:firstColumn="0" w:lastColumn="0" w:oddVBand="0" w:evenVBand="0" w:oddHBand="1" w:evenHBand="0" w:firstRowFirstColumn="0" w:firstRowLastColumn="0" w:lastRowFirstColumn="0" w:lastRowLastColumn="0"/>
              <w:rPr>
                <w:lang w:val="en-GB"/>
              </w:rPr>
            </w:pPr>
            <w:r w:rsidRPr="00B144CF">
              <w:t>The result is a count of products created and engagements during the reporting period.</w:t>
            </w:r>
          </w:p>
        </w:tc>
      </w:tr>
      <w:tr w:rsidR="00893CCC" w:rsidRPr="00330793" w14:paraId="546D2FB8" w14:textId="77777777" w:rsidTr="00844C77">
        <w:trPr>
          <w:trHeight w:val="60"/>
        </w:trPr>
        <w:tc>
          <w:tcPr>
            <w:cnfStyle w:val="001000000000" w:firstRow="0" w:lastRow="0" w:firstColumn="1" w:lastColumn="0" w:oddVBand="0" w:evenVBand="0" w:oddHBand="0" w:evenHBand="0" w:firstRowFirstColumn="0" w:firstRowLastColumn="0" w:lastRowFirstColumn="0" w:lastRowLastColumn="0"/>
            <w:tcW w:w="2552" w:type="dxa"/>
          </w:tcPr>
          <w:p w14:paraId="194150BE" w14:textId="77777777" w:rsidR="00893CCC" w:rsidRPr="00E90EA6" w:rsidRDefault="00893CCC" w:rsidP="00D66834">
            <w:pPr>
              <w:spacing w:before="120" w:after="120"/>
              <w:rPr>
                <w:rFonts w:ascii="Work Sans Medium" w:hAnsi="Work Sans Medium"/>
                <w:b w:val="0"/>
                <w:lang w:val="en-GB"/>
              </w:rPr>
            </w:pPr>
            <w:r w:rsidRPr="00E90EA6">
              <w:rPr>
                <w:rFonts w:ascii="Work Sans Medium" w:hAnsi="Work Sans Medium"/>
                <w:b w:val="0"/>
                <w:lang w:val="en-GB"/>
              </w:rPr>
              <w:t>Changes from the previous year</w:t>
            </w:r>
          </w:p>
        </w:tc>
        <w:tc>
          <w:tcPr>
            <w:tcW w:w="7086" w:type="dxa"/>
          </w:tcPr>
          <w:p w14:paraId="79C34CFB" w14:textId="77777777" w:rsidR="00893CCC" w:rsidRPr="00330793" w:rsidRDefault="00893CCC" w:rsidP="00D66834">
            <w:pPr>
              <w:spacing w:before="120" w:after="120"/>
              <w:cnfStyle w:val="000000000000" w:firstRow="0" w:lastRow="0" w:firstColumn="0" w:lastColumn="0" w:oddVBand="0" w:evenVBand="0" w:oddHBand="0" w:evenHBand="0" w:firstRowFirstColumn="0" w:firstRowLastColumn="0" w:lastRowFirstColumn="0" w:lastRowLastColumn="0"/>
              <w:rPr>
                <w:lang w:val="en-GB"/>
              </w:rPr>
            </w:pPr>
            <w:r>
              <w:rPr>
                <w:lang w:val="en-GB"/>
              </w:rPr>
              <w:t>Nil.</w:t>
            </w:r>
          </w:p>
        </w:tc>
      </w:tr>
    </w:tbl>
    <w:p w14:paraId="1FA609C6" w14:textId="1E192A39" w:rsidR="002209C8" w:rsidRPr="002209C8" w:rsidRDefault="002209C8" w:rsidP="00AB7525">
      <w:pPr>
        <w:pStyle w:val="Heading3"/>
        <w:spacing w:before="360" w:after="240"/>
        <w:rPr>
          <w:lang w:val="en-GB"/>
        </w:rPr>
      </w:pPr>
      <w:r w:rsidRPr="002209C8">
        <w:rPr>
          <w:lang w:val="en-GB"/>
        </w:rPr>
        <w:t>NACC Act reporting requirements</w:t>
      </w:r>
    </w:p>
    <w:p w14:paraId="2BDB3120" w14:textId="145FB556" w:rsidR="000C218A" w:rsidRPr="000C218A" w:rsidRDefault="000C218A" w:rsidP="000C218A">
      <w:pPr>
        <w:rPr>
          <w:lang w:val="en-GB"/>
        </w:rPr>
      </w:pPr>
      <w:r w:rsidRPr="000C218A">
        <w:rPr>
          <w:lang w:val="en-GB"/>
        </w:rPr>
        <w:t>The NACC</w:t>
      </w:r>
      <w:r w:rsidR="00AB7525">
        <w:rPr>
          <w:lang w:val="en-GB"/>
        </w:rPr>
        <w:t xml:space="preserve"> </w:t>
      </w:r>
      <w:r w:rsidRPr="000C218A">
        <w:rPr>
          <w:lang w:val="en-GB"/>
        </w:rPr>
        <w:t>Act specifies reporting requirements on the performance of the Commissioner’s functions. These requirements provide a measure of the Commission’s activity</w:t>
      </w:r>
      <w:r w:rsidR="00AB7525">
        <w:rPr>
          <w:lang w:val="en-GB"/>
        </w:rPr>
        <w:t xml:space="preserve"> </w:t>
      </w:r>
      <w:r w:rsidRPr="000C218A">
        <w:rPr>
          <w:lang w:val="en-GB"/>
        </w:rPr>
        <w:t>and output.</w:t>
      </w:r>
    </w:p>
    <w:p w14:paraId="12F85CBD" w14:textId="18EA27CD" w:rsidR="000C218A" w:rsidRPr="000C218A" w:rsidRDefault="000C218A" w:rsidP="000C218A">
      <w:pPr>
        <w:rPr>
          <w:lang w:val="en-GB"/>
        </w:rPr>
      </w:pPr>
      <w:r w:rsidRPr="000C218A">
        <w:rPr>
          <w:lang w:val="en-GB"/>
        </w:rPr>
        <w:t xml:space="preserve">In accordance with the </w:t>
      </w:r>
      <w:r w:rsidRPr="000C218A">
        <w:rPr>
          <w:i/>
          <w:iCs/>
          <w:lang w:val="en-GB"/>
        </w:rPr>
        <w:t>National Anti</w:t>
      </w:r>
      <w:r w:rsidRPr="000C218A">
        <w:rPr>
          <w:i/>
          <w:iCs/>
          <w:lang w:val="en-GB"/>
        </w:rPr>
        <w:noBreakHyphen/>
        <w:t>Corruption Commission Regulations 2023</w:t>
      </w:r>
      <w:r w:rsidRPr="000C218A">
        <w:rPr>
          <w:lang w:val="en-GB"/>
        </w:rPr>
        <w:t xml:space="preserve"> (NACC</w:t>
      </w:r>
      <w:r w:rsidR="00AB7525">
        <w:rPr>
          <w:lang w:val="en-GB"/>
        </w:rPr>
        <w:t xml:space="preserve"> </w:t>
      </w:r>
      <w:r w:rsidRPr="000C218A">
        <w:rPr>
          <w:lang w:val="en-GB"/>
        </w:rPr>
        <w:t>Regulations), these requirements</w:t>
      </w:r>
      <w:r w:rsidR="00AB7525">
        <w:rPr>
          <w:lang w:val="en-GB"/>
        </w:rPr>
        <w:t xml:space="preserve"> </w:t>
      </w:r>
      <w:r w:rsidRPr="000C218A">
        <w:rPr>
          <w:lang w:val="en-GB"/>
        </w:rPr>
        <w:t>are</w:t>
      </w:r>
      <w:r w:rsidR="00AB7525">
        <w:rPr>
          <w:lang w:val="en-GB"/>
        </w:rPr>
        <w:t xml:space="preserve"> </w:t>
      </w:r>
      <w:r w:rsidRPr="000C218A">
        <w:rPr>
          <w:lang w:val="en-GB"/>
        </w:rPr>
        <w:t>outlined in Table 2.</w:t>
      </w:r>
    </w:p>
    <w:p w14:paraId="5D0A7668" w14:textId="77777777" w:rsidR="000C218A" w:rsidRPr="000C218A" w:rsidRDefault="000C218A" w:rsidP="000C218A">
      <w:pPr>
        <w:rPr>
          <w:lang w:val="en-GB"/>
        </w:rPr>
      </w:pPr>
      <w:r w:rsidRPr="000C218A">
        <w:rPr>
          <w:lang w:val="en-GB"/>
        </w:rPr>
        <w:t>The Commission monitors its performance against these through regular reporting.</w:t>
      </w:r>
    </w:p>
    <w:p w14:paraId="756D5303" w14:textId="73B3577D" w:rsidR="000C218A" w:rsidRPr="000C218A" w:rsidRDefault="000C218A" w:rsidP="000C218A">
      <w:pPr>
        <w:rPr>
          <w:lang w:val="en-GB"/>
        </w:rPr>
      </w:pPr>
      <w:r w:rsidRPr="000C218A">
        <w:rPr>
          <w:lang w:val="en-GB"/>
        </w:rPr>
        <w:t>Quarterly reports on progress against the external facing performance measures and the requirements outlined in the NACC</w:t>
      </w:r>
      <w:r w:rsidR="00AB7525">
        <w:rPr>
          <w:lang w:val="en-GB"/>
        </w:rPr>
        <w:t xml:space="preserve"> </w:t>
      </w:r>
      <w:r w:rsidRPr="000C218A">
        <w:rPr>
          <w:lang w:val="en-GB"/>
        </w:rPr>
        <w:t>Act are provided to the Corporate Governance Committee, Executive Leadership Committee and Audit and Risk Committee.</w:t>
      </w:r>
    </w:p>
    <w:p w14:paraId="7E16951E" w14:textId="77777777" w:rsidR="000C218A" w:rsidRPr="000C218A" w:rsidRDefault="000C218A" w:rsidP="000C218A">
      <w:pPr>
        <w:rPr>
          <w:lang w:val="en-GB"/>
        </w:rPr>
      </w:pPr>
      <w:r w:rsidRPr="000C218A">
        <w:rPr>
          <w:lang w:val="en-GB"/>
        </w:rPr>
        <w:lastRenderedPageBreak/>
        <w:t>The Commission will publish results for these performance measures from the financial year in its Annual Report.</w:t>
      </w:r>
    </w:p>
    <w:p w14:paraId="103D8EFC" w14:textId="46D0ECB6" w:rsidR="002209C8" w:rsidRPr="00E90EA6" w:rsidRDefault="005B0A96" w:rsidP="00E90EA6">
      <w:pPr>
        <w:pStyle w:val="Heading4"/>
        <w:rPr>
          <w:b w:val="0"/>
          <w:bCs/>
        </w:rPr>
      </w:pPr>
      <w:r w:rsidRPr="00234D36">
        <w:rPr>
          <w:color w:val="1B598C" w:themeColor="text1"/>
        </w:rPr>
        <w:t xml:space="preserve">Table </w:t>
      </w:r>
      <w:r w:rsidR="000C218A" w:rsidRPr="00234D36">
        <w:rPr>
          <w:color w:val="1B598C" w:themeColor="text1"/>
        </w:rPr>
        <w:t>2</w:t>
      </w:r>
      <w:r w:rsidRPr="00234D36">
        <w:rPr>
          <w:color w:val="1B598C" w:themeColor="text1"/>
        </w:rPr>
        <w:t xml:space="preserve">: </w:t>
      </w:r>
      <w:r w:rsidR="002209C8" w:rsidRPr="00E90EA6">
        <w:rPr>
          <w:b w:val="0"/>
          <w:bCs/>
        </w:rPr>
        <w:t>NACC Act reporting requirements</w:t>
      </w:r>
    </w:p>
    <w:tbl>
      <w:tblPr>
        <w:tblStyle w:val="CorporatePlan"/>
        <w:tblW w:w="0" w:type="auto"/>
        <w:tblLook w:val="0420" w:firstRow="1" w:lastRow="0" w:firstColumn="0" w:lastColumn="0" w:noHBand="0" w:noVBand="1"/>
      </w:tblPr>
      <w:tblGrid>
        <w:gridCol w:w="671"/>
        <w:gridCol w:w="4858"/>
        <w:gridCol w:w="3497"/>
      </w:tblGrid>
      <w:tr w:rsidR="005B0A96" w:rsidRPr="00E90EA6" w14:paraId="2719CB68" w14:textId="77777777" w:rsidTr="00FE6491">
        <w:trPr>
          <w:cnfStyle w:val="100000000000" w:firstRow="1" w:lastRow="0" w:firstColumn="0" w:lastColumn="0" w:oddVBand="0" w:evenVBand="0" w:oddHBand="0" w:evenHBand="0" w:firstRowFirstColumn="0" w:firstRowLastColumn="0" w:lastRowFirstColumn="0" w:lastRowLastColumn="0"/>
          <w:tblHeader/>
        </w:trPr>
        <w:tc>
          <w:tcPr>
            <w:tcW w:w="671" w:type="dxa"/>
          </w:tcPr>
          <w:p w14:paraId="3EF457D7" w14:textId="345C16DF" w:rsidR="005B0A96" w:rsidRPr="00E90EA6" w:rsidRDefault="005B0A96" w:rsidP="005B0A96">
            <w:pPr>
              <w:spacing w:before="120" w:after="120"/>
              <w:rPr>
                <w:rFonts w:ascii="Work Sans SemiBold" w:hAnsi="Work Sans SemiBold"/>
                <w:b w:val="0"/>
                <w:bCs/>
                <w:color w:val="FFFFFF" w:themeColor="accent5"/>
                <w:lang w:val="en-GB"/>
              </w:rPr>
            </w:pPr>
            <w:r w:rsidRPr="00E90EA6">
              <w:rPr>
                <w:rFonts w:ascii="Work Sans SemiBold" w:hAnsi="Work Sans SemiBold"/>
                <w:b w:val="0"/>
                <w:bCs/>
                <w:color w:val="FFFFFF" w:themeColor="accent5"/>
                <w:lang w:val="en-GB"/>
              </w:rPr>
              <w:t>No.</w:t>
            </w:r>
          </w:p>
        </w:tc>
        <w:tc>
          <w:tcPr>
            <w:tcW w:w="4858" w:type="dxa"/>
          </w:tcPr>
          <w:p w14:paraId="3EDA9D82" w14:textId="5FAB3CB0" w:rsidR="005B0A96" w:rsidRPr="00E90EA6" w:rsidRDefault="005B0A96" w:rsidP="005B0A96">
            <w:pPr>
              <w:spacing w:before="120" w:after="120"/>
              <w:rPr>
                <w:rFonts w:ascii="Work Sans SemiBold" w:hAnsi="Work Sans SemiBold"/>
                <w:b w:val="0"/>
                <w:bCs/>
                <w:color w:val="FFFFFF" w:themeColor="accent5"/>
                <w:lang w:val="en-GB"/>
              </w:rPr>
            </w:pPr>
            <w:r w:rsidRPr="00E90EA6">
              <w:rPr>
                <w:rFonts w:ascii="Work Sans SemiBold" w:hAnsi="Work Sans SemiBold"/>
                <w:b w:val="0"/>
                <w:bCs/>
                <w:color w:val="FFFFFF" w:themeColor="accent5"/>
                <w:lang w:val="en-GB"/>
              </w:rPr>
              <w:t>Requirement</w:t>
            </w:r>
          </w:p>
        </w:tc>
        <w:tc>
          <w:tcPr>
            <w:tcW w:w="3497" w:type="dxa"/>
          </w:tcPr>
          <w:p w14:paraId="63D96C3A" w14:textId="50C98CA5" w:rsidR="005B0A96" w:rsidRPr="00E90EA6" w:rsidRDefault="005B0A96" w:rsidP="005B0A96">
            <w:pPr>
              <w:spacing w:before="120" w:after="120"/>
              <w:rPr>
                <w:rFonts w:ascii="Work Sans SemiBold" w:hAnsi="Work Sans SemiBold"/>
                <w:b w:val="0"/>
                <w:bCs/>
                <w:color w:val="FFFFFF" w:themeColor="accent5"/>
                <w:lang w:val="en-GB"/>
              </w:rPr>
            </w:pPr>
            <w:r w:rsidRPr="00E90EA6">
              <w:rPr>
                <w:rFonts w:ascii="Work Sans SemiBold" w:hAnsi="Work Sans SemiBold"/>
                <w:b w:val="0"/>
                <w:bCs/>
                <w:color w:val="FFFFFF" w:themeColor="accent5"/>
                <w:lang w:val="en-GB"/>
              </w:rPr>
              <w:t>Legislative reference</w:t>
            </w:r>
          </w:p>
        </w:tc>
      </w:tr>
      <w:tr w:rsidR="004A4A70" w14:paraId="22B9EC10"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239D228F" w14:textId="4E4CD4D8" w:rsidR="005B0A96" w:rsidRDefault="005B0A96" w:rsidP="005B0A96">
            <w:pPr>
              <w:spacing w:before="120" w:after="120"/>
              <w:rPr>
                <w:lang w:val="en-GB"/>
              </w:rPr>
            </w:pPr>
            <w:r w:rsidRPr="005B0A96">
              <w:rPr>
                <w:rFonts w:asciiTheme="minorHAnsi" w:hAnsiTheme="minorHAnsi"/>
              </w:rPr>
              <w:t>1</w:t>
            </w:r>
          </w:p>
        </w:tc>
        <w:tc>
          <w:tcPr>
            <w:tcW w:w="4858" w:type="dxa"/>
          </w:tcPr>
          <w:p w14:paraId="5E439041" w14:textId="748E40CD" w:rsidR="005B0A96" w:rsidRDefault="005B0A96" w:rsidP="005B0A96">
            <w:pPr>
              <w:spacing w:before="120" w:after="120"/>
              <w:rPr>
                <w:lang w:val="en-GB"/>
              </w:rPr>
            </w:pPr>
            <w:r w:rsidRPr="005B0A96">
              <w:rPr>
                <w:rFonts w:asciiTheme="minorHAnsi" w:hAnsiTheme="minorHAnsi"/>
              </w:rPr>
              <w:t>Number of voluntary referrals received</w:t>
            </w:r>
          </w:p>
        </w:tc>
        <w:tc>
          <w:tcPr>
            <w:tcW w:w="3497" w:type="dxa"/>
          </w:tcPr>
          <w:p w14:paraId="1058EC9D" w14:textId="5329FA33" w:rsidR="005B0A96" w:rsidRPr="00933431" w:rsidRDefault="005B0A96" w:rsidP="00933431">
            <w:pPr>
              <w:pStyle w:val="TablecopyTables"/>
            </w:pPr>
            <w:r w:rsidRPr="00933431">
              <w:t>NACC Act: s</w:t>
            </w:r>
            <w:r w:rsidR="00AB7525" w:rsidRPr="00933431">
              <w:t xml:space="preserve"> </w:t>
            </w:r>
            <w:r w:rsidRPr="00933431">
              <w:t>271(2)(a)(</w:t>
            </w:r>
            <w:proofErr w:type="spellStart"/>
            <w:r w:rsidRPr="00933431">
              <w:t>i</w:t>
            </w:r>
            <w:proofErr w:type="spellEnd"/>
            <w:r w:rsidRPr="00933431">
              <w:t>)</w:t>
            </w:r>
          </w:p>
          <w:p w14:paraId="6101F251" w14:textId="4B241F31" w:rsidR="005B0A96" w:rsidRDefault="005B0A96" w:rsidP="005B0A96">
            <w:pPr>
              <w:spacing w:before="120" w:after="120"/>
              <w:rPr>
                <w:lang w:val="en-GB"/>
              </w:rPr>
            </w:pPr>
            <w:r w:rsidRPr="005B0A96">
              <w:rPr>
                <w:rFonts w:asciiTheme="minorHAnsi" w:hAnsiTheme="minorHAnsi"/>
              </w:rPr>
              <w:t>NACC Regulations: s</w:t>
            </w:r>
            <w:r w:rsidR="00AB7525">
              <w:rPr>
                <w:rFonts w:asciiTheme="minorHAnsi" w:hAnsiTheme="minorHAnsi"/>
              </w:rPr>
              <w:t xml:space="preserve"> </w:t>
            </w:r>
            <w:r w:rsidRPr="005B0A96">
              <w:rPr>
                <w:rFonts w:asciiTheme="minorHAnsi" w:hAnsiTheme="minorHAnsi"/>
              </w:rPr>
              <w:t>27(a)</w:t>
            </w:r>
          </w:p>
        </w:tc>
      </w:tr>
      <w:tr w:rsidR="005B0A96" w14:paraId="58DC50D4" w14:textId="77777777" w:rsidTr="00FE6491">
        <w:tc>
          <w:tcPr>
            <w:tcW w:w="671" w:type="dxa"/>
          </w:tcPr>
          <w:p w14:paraId="51A1E519" w14:textId="6B17AD0C" w:rsidR="005B0A96" w:rsidRDefault="005B0A96" w:rsidP="005B0A96">
            <w:pPr>
              <w:spacing w:before="120" w:after="120"/>
              <w:rPr>
                <w:lang w:val="en-GB"/>
              </w:rPr>
            </w:pPr>
            <w:r w:rsidRPr="005B0A96">
              <w:rPr>
                <w:rFonts w:asciiTheme="minorHAnsi" w:hAnsiTheme="minorHAnsi"/>
              </w:rPr>
              <w:t>2</w:t>
            </w:r>
          </w:p>
        </w:tc>
        <w:tc>
          <w:tcPr>
            <w:tcW w:w="4858" w:type="dxa"/>
          </w:tcPr>
          <w:p w14:paraId="4ADECE44" w14:textId="0656A21E" w:rsidR="005B0A96" w:rsidRDefault="005B0A96" w:rsidP="005B0A96">
            <w:pPr>
              <w:spacing w:before="120" w:after="120"/>
              <w:rPr>
                <w:lang w:val="en-GB"/>
              </w:rPr>
            </w:pPr>
            <w:r w:rsidRPr="005B0A96">
              <w:rPr>
                <w:rFonts w:asciiTheme="minorHAnsi" w:hAnsiTheme="minorHAnsi"/>
              </w:rPr>
              <w:t>Number of mandatory referrals received</w:t>
            </w:r>
          </w:p>
        </w:tc>
        <w:tc>
          <w:tcPr>
            <w:tcW w:w="3497" w:type="dxa"/>
          </w:tcPr>
          <w:p w14:paraId="44961D02" w14:textId="3CA461E1" w:rsidR="005B0A96" w:rsidRPr="00933431" w:rsidRDefault="005B0A96" w:rsidP="00933431">
            <w:pPr>
              <w:pStyle w:val="TablecopyTables"/>
            </w:pPr>
            <w:r w:rsidRPr="00933431">
              <w:t>NACC Act: s</w:t>
            </w:r>
            <w:r w:rsidR="00AB7525" w:rsidRPr="00933431">
              <w:t xml:space="preserve"> </w:t>
            </w:r>
            <w:r w:rsidRPr="00933431">
              <w:t>271(2)(a)(</w:t>
            </w:r>
            <w:proofErr w:type="spellStart"/>
            <w:r w:rsidRPr="00933431">
              <w:t>i</w:t>
            </w:r>
            <w:proofErr w:type="spellEnd"/>
            <w:r w:rsidRPr="00933431">
              <w:t>)</w:t>
            </w:r>
          </w:p>
          <w:p w14:paraId="609BECE7" w14:textId="3B7A7E5D" w:rsidR="005B0A96" w:rsidRDefault="005B0A96" w:rsidP="005B0A96">
            <w:pPr>
              <w:spacing w:before="120" w:after="120"/>
              <w:rPr>
                <w:lang w:val="en-GB"/>
              </w:rPr>
            </w:pPr>
            <w:r w:rsidRPr="005B0A96">
              <w:rPr>
                <w:rFonts w:asciiTheme="minorHAnsi" w:hAnsiTheme="minorHAnsi"/>
              </w:rPr>
              <w:t>NACC Regulations: s</w:t>
            </w:r>
            <w:r w:rsidR="00AB7525">
              <w:rPr>
                <w:rFonts w:asciiTheme="minorHAnsi" w:hAnsiTheme="minorHAnsi"/>
              </w:rPr>
              <w:t xml:space="preserve"> </w:t>
            </w:r>
            <w:r w:rsidRPr="005B0A96">
              <w:rPr>
                <w:rFonts w:asciiTheme="minorHAnsi" w:hAnsiTheme="minorHAnsi"/>
              </w:rPr>
              <w:t>27(b)</w:t>
            </w:r>
          </w:p>
        </w:tc>
      </w:tr>
      <w:tr w:rsidR="004A4A70" w14:paraId="59F40940"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1715B8F9" w14:textId="3376F7FA" w:rsidR="005B0A96" w:rsidRDefault="005B0A96" w:rsidP="005B0A96">
            <w:pPr>
              <w:spacing w:before="120" w:after="120"/>
              <w:rPr>
                <w:lang w:val="en-GB"/>
              </w:rPr>
            </w:pPr>
            <w:r w:rsidRPr="005B0A96">
              <w:rPr>
                <w:rFonts w:asciiTheme="minorHAnsi" w:hAnsiTheme="minorHAnsi"/>
              </w:rPr>
              <w:t>3</w:t>
            </w:r>
          </w:p>
        </w:tc>
        <w:tc>
          <w:tcPr>
            <w:tcW w:w="4858" w:type="dxa"/>
          </w:tcPr>
          <w:p w14:paraId="3765E7C6" w14:textId="1D46DB7A" w:rsidR="005B0A96" w:rsidRDefault="005B0A96" w:rsidP="005B0A96">
            <w:pPr>
              <w:spacing w:before="120" w:after="120"/>
              <w:rPr>
                <w:lang w:val="en-GB"/>
              </w:rPr>
            </w:pPr>
            <w:r w:rsidRPr="005B0A96">
              <w:rPr>
                <w:rFonts w:asciiTheme="minorHAnsi" w:hAnsiTheme="minorHAnsi"/>
              </w:rPr>
              <w:t>Total number of corruption issues dealt with (decisions under s</w:t>
            </w:r>
            <w:r w:rsidR="00AB7525">
              <w:rPr>
                <w:rFonts w:asciiTheme="minorHAnsi" w:hAnsiTheme="minorHAnsi"/>
              </w:rPr>
              <w:t xml:space="preserve"> </w:t>
            </w:r>
            <w:r w:rsidRPr="005B0A96">
              <w:rPr>
                <w:rFonts w:asciiTheme="minorHAnsi" w:hAnsiTheme="minorHAnsi"/>
              </w:rPr>
              <w:t>41(1) and s</w:t>
            </w:r>
            <w:r w:rsidR="00AB7525">
              <w:rPr>
                <w:rFonts w:asciiTheme="minorHAnsi" w:hAnsiTheme="minorHAnsi"/>
              </w:rPr>
              <w:t xml:space="preserve"> </w:t>
            </w:r>
            <w:r w:rsidRPr="005B0A96">
              <w:rPr>
                <w:rFonts w:asciiTheme="minorHAnsi" w:hAnsiTheme="minorHAnsi"/>
              </w:rPr>
              <w:t>41(6))</w:t>
            </w:r>
          </w:p>
        </w:tc>
        <w:tc>
          <w:tcPr>
            <w:tcW w:w="3497" w:type="dxa"/>
          </w:tcPr>
          <w:p w14:paraId="7949CCFD" w14:textId="44AE2FDA" w:rsidR="005B0A96" w:rsidRPr="00933431" w:rsidRDefault="005B0A96" w:rsidP="00933431">
            <w:pPr>
              <w:pStyle w:val="TablecopyTables"/>
            </w:pPr>
            <w:r w:rsidRPr="00933431">
              <w:t>NACC Act: s</w:t>
            </w:r>
            <w:r w:rsidR="00AB7525" w:rsidRPr="00933431">
              <w:t xml:space="preserve"> </w:t>
            </w:r>
            <w:r w:rsidRPr="00933431">
              <w:t>271(2)(a)(ii)</w:t>
            </w:r>
          </w:p>
          <w:p w14:paraId="5B795D10" w14:textId="53E7F623" w:rsidR="005B0A96" w:rsidRDefault="005B0A96" w:rsidP="005B0A96">
            <w:pPr>
              <w:spacing w:before="120" w:after="120"/>
              <w:rPr>
                <w:lang w:val="en-GB"/>
              </w:rPr>
            </w:pPr>
            <w:r w:rsidRPr="005B0A96">
              <w:rPr>
                <w:rFonts w:asciiTheme="minorHAnsi" w:hAnsiTheme="minorHAnsi"/>
              </w:rPr>
              <w:t>NACC Regulations: s</w:t>
            </w:r>
            <w:r w:rsidR="00AB7525">
              <w:rPr>
                <w:rFonts w:asciiTheme="minorHAnsi" w:hAnsiTheme="minorHAnsi"/>
              </w:rPr>
              <w:t xml:space="preserve"> </w:t>
            </w:r>
            <w:r w:rsidRPr="005B0A96">
              <w:rPr>
                <w:rFonts w:asciiTheme="minorHAnsi" w:hAnsiTheme="minorHAnsi"/>
              </w:rPr>
              <w:t>28(1)</w:t>
            </w:r>
          </w:p>
        </w:tc>
      </w:tr>
      <w:tr w:rsidR="005B0A96" w14:paraId="057161FF" w14:textId="77777777" w:rsidTr="00FE6491">
        <w:tc>
          <w:tcPr>
            <w:tcW w:w="671" w:type="dxa"/>
          </w:tcPr>
          <w:p w14:paraId="0213BF4F" w14:textId="7269BFDA" w:rsidR="005B0A96" w:rsidRDefault="005B0A96" w:rsidP="005B0A96">
            <w:pPr>
              <w:spacing w:before="120" w:after="120"/>
              <w:rPr>
                <w:lang w:val="en-GB"/>
              </w:rPr>
            </w:pPr>
            <w:r w:rsidRPr="005B0A96">
              <w:rPr>
                <w:rFonts w:asciiTheme="minorHAnsi" w:hAnsiTheme="minorHAnsi"/>
              </w:rPr>
              <w:t>4</w:t>
            </w:r>
          </w:p>
        </w:tc>
        <w:tc>
          <w:tcPr>
            <w:tcW w:w="4858" w:type="dxa"/>
          </w:tcPr>
          <w:p w14:paraId="4A9EF21F" w14:textId="4E0B3FD9" w:rsidR="005B0A96" w:rsidRDefault="005B0A96" w:rsidP="005B0A96">
            <w:pPr>
              <w:spacing w:before="120" w:after="120"/>
              <w:rPr>
                <w:lang w:val="en-GB"/>
              </w:rPr>
            </w:pPr>
            <w:r w:rsidRPr="005B0A96">
              <w:rPr>
                <w:rFonts w:asciiTheme="minorHAnsi" w:hAnsiTheme="minorHAnsi"/>
              </w:rPr>
              <w:t>Number of corruption issues investigated by the Commission (decisions under s</w:t>
            </w:r>
            <w:r w:rsidR="00AB7525">
              <w:rPr>
                <w:rFonts w:asciiTheme="minorHAnsi" w:hAnsiTheme="minorHAnsi"/>
              </w:rPr>
              <w:t xml:space="preserve"> </w:t>
            </w:r>
            <w:r w:rsidRPr="005B0A96">
              <w:rPr>
                <w:rFonts w:asciiTheme="minorHAnsi" w:hAnsiTheme="minorHAnsi"/>
              </w:rPr>
              <w:t>41(1)(a))</w:t>
            </w:r>
          </w:p>
        </w:tc>
        <w:tc>
          <w:tcPr>
            <w:tcW w:w="3497" w:type="dxa"/>
          </w:tcPr>
          <w:p w14:paraId="2A5B8E03" w14:textId="4F0F3113" w:rsidR="005B0A96" w:rsidRPr="00933431" w:rsidRDefault="005B0A96" w:rsidP="00933431">
            <w:pPr>
              <w:pStyle w:val="TablecopyTables"/>
            </w:pPr>
            <w:r w:rsidRPr="00933431">
              <w:t>NACC Act: s</w:t>
            </w:r>
            <w:r w:rsidR="00AB7525" w:rsidRPr="00933431">
              <w:t xml:space="preserve"> </w:t>
            </w:r>
            <w:r w:rsidRPr="00933431">
              <w:t>271(2)(a)(ii)</w:t>
            </w:r>
          </w:p>
          <w:p w14:paraId="4EBB607C" w14:textId="1D7D4C89" w:rsidR="005B0A96" w:rsidRDefault="005B0A96" w:rsidP="005B0A96">
            <w:pPr>
              <w:spacing w:before="120" w:after="120"/>
              <w:rPr>
                <w:lang w:val="en-GB"/>
              </w:rPr>
            </w:pPr>
            <w:r w:rsidRPr="005B0A96">
              <w:rPr>
                <w:rFonts w:asciiTheme="minorHAnsi" w:hAnsiTheme="minorHAnsi"/>
              </w:rPr>
              <w:t>NACC Regulations: s</w:t>
            </w:r>
            <w:r w:rsidR="00AB7525">
              <w:rPr>
                <w:rFonts w:asciiTheme="minorHAnsi" w:hAnsiTheme="minorHAnsi"/>
              </w:rPr>
              <w:t xml:space="preserve"> </w:t>
            </w:r>
            <w:r w:rsidRPr="005B0A96">
              <w:rPr>
                <w:rFonts w:asciiTheme="minorHAnsi" w:hAnsiTheme="minorHAnsi"/>
              </w:rPr>
              <w:t>28(2)(a)</w:t>
            </w:r>
          </w:p>
        </w:tc>
      </w:tr>
      <w:tr w:rsidR="004A4A70" w14:paraId="58A9921D"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69C92B28" w14:textId="327BC7DA" w:rsidR="005B0A96" w:rsidRDefault="005B0A96" w:rsidP="005B0A96">
            <w:pPr>
              <w:spacing w:before="120" w:after="120"/>
              <w:rPr>
                <w:lang w:val="en-GB"/>
              </w:rPr>
            </w:pPr>
            <w:r w:rsidRPr="005B0A96">
              <w:rPr>
                <w:rFonts w:asciiTheme="minorHAnsi" w:hAnsiTheme="minorHAnsi"/>
              </w:rPr>
              <w:t>5</w:t>
            </w:r>
          </w:p>
        </w:tc>
        <w:tc>
          <w:tcPr>
            <w:tcW w:w="4858" w:type="dxa"/>
          </w:tcPr>
          <w:p w14:paraId="65898E39" w14:textId="4186FC23" w:rsidR="005B0A96" w:rsidRDefault="005B0A96" w:rsidP="005B0A96">
            <w:pPr>
              <w:spacing w:before="120" w:after="120"/>
              <w:rPr>
                <w:lang w:val="en-GB"/>
              </w:rPr>
            </w:pPr>
            <w:r w:rsidRPr="005B0A96">
              <w:rPr>
                <w:rFonts w:asciiTheme="minorHAnsi" w:hAnsiTheme="minorHAnsi"/>
              </w:rPr>
              <w:t>Number of corruption issues investigated jointly by the Commission and a Commonwealth agency or a state or territory government entity (decisions under s</w:t>
            </w:r>
            <w:r w:rsidR="00AB7525">
              <w:rPr>
                <w:rFonts w:asciiTheme="minorHAnsi" w:hAnsiTheme="minorHAnsi"/>
              </w:rPr>
              <w:t xml:space="preserve"> </w:t>
            </w:r>
            <w:r w:rsidRPr="005B0A96">
              <w:rPr>
                <w:rFonts w:asciiTheme="minorHAnsi" w:hAnsiTheme="minorHAnsi"/>
              </w:rPr>
              <w:t>41(1)(b))</w:t>
            </w:r>
          </w:p>
        </w:tc>
        <w:tc>
          <w:tcPr>
            <w:tcW w:w="3497" w:type="dxa"/>
          </w:tcPr>
          <w:p w14:paraId="38BDAE78" w14:textId="3E32F9EF" w:rsidR="005B0A96" w:rsidRPr="00933431" w:rsidRDefault="005B0A96" w:rsidP="00933431">
            <w:pPr>
              <w:pStyle w:val="TablecopyTables"/>
            </w:pPr>
            <w:r w:rsidRPr="00933431">
              <w:t>NACC Act: s</w:t>
            </w:r>
            <w:r w:rsidR="00AB7525" w:rsidRPr="00933431">
              <w:t xml:space="preserve"> </w:t>
            </w:r>
            <w:r w:rsidRPr="00933431">
              <w:t>271(2)(a)(ii)</w:t>
            </w:r>
          </w:p>
          <w:p w14:paraId="692201BD" w14:textId="7121AE80" w:rsidR="005B0A96" w:rsidRDefault="005B0A96" w:rsidP="005B0A96">
            <w:pPr>
              <w:spacing w:before="120" w:after="120"/>
              <w:rPr>
                <w:lang w:val="en-GB"/>
              </w:rPr>
            </w:pPr>
            <w:r w:rsidRPr="005B0A96">
              <w:rPr>
                <w:rFonts w:asciiTheme="minorHAnsi" w:hAnsiTheme="minorHAnsi"/>
              </w:rPr>
              <w:t>NACC Regulations: s</w:t>
            </w:r>
            <w:r w:rsidR="00AB7525">
              <w:rPr>
                <w:rFonts w:asciiTheme="minorHAnsi" w:hAnsiTheme="minorHAnsi"/>
              </w:rPr>
              <w:t xml:space="preserve"> </w:t>
            </w:r>
            <w:r w:rsidRPr="005B0A96">
              <w:rPr>
                <w:rFonts w:asciiTheme="minorHAnsi" w:hAnsiTheme="minorHAnsi"/>
              </w:rPr>
              <w:t>28(2)(b)</w:t>
            </w:r>
          </w:p>
        </w:tc>
      </w:tr>
      <w:tr w:rsidR="005B0A96" w14:paraId="2350CFA2" w14:textId="77777777" w:rsidTr="00FE6491">
        <w:tc>
          <w:tcPr>
            <w:tcW w:w="671" w:type="dxa"/>
          </w:tcPr>
          <w:p w14:paraId="7C57564C" w14:textId="72860528" w:rsidR="005B0A96" w:rsidRDefault="005B0A96" w:rsidP="005B0A96">
            <w:pPr>
              <w:spacing w:before="120" w:after="120"/>
              <w:rPr>
                <w:lang w:val="en-GB"/>
              </w:rPr>
            </w:pPr>
            <w:r w:rsidRPr="005B0A96">
              <w:rPr>
                <w:rFonts w:asciiTheme="minorHAnsi" w:hAnsiTheme="minorHAnsi"/>
              </w:rPr>
              <w:t>6</w:t>
            </w:r>
          </w:p>
        </w:tc>
        <w:tc>
          <w:tcPr>
            <w:tcW w:w="4858" w:type="dxa"/>
          </w:tcPr>
          <w:p w14:paraId="3D9693CD" w14:textId="3D71F7B6" w:rsidR="005B0A96" w:rsidRDefault="005B0A96" w:rsidP="005B0A96">
            <w:pPr>
              <w:spacing w:before="120" w:after="120"/>
              <w:rPr>
                <w:lang w:val="en-GB"/>
              </w:rPr>
            </w:pPr>
            <w:r w:rsidRPr="005B0A96">
              <w:rPr>
                <w:rFonts w:asciiTheme="minorHAnsi" w:hAnsiTheme="minorHAnsi"/>
              </w:rPr>
              <w:t>Number of corruption issues referred to a Commonwealth agency for investigation (decisions under s</w:t>
            </w:r>
            <w:r w:rsidR="00AB7525">
              <w:rPr>
                <w:rFonts w:asciiTheme="minorHAnsi" w:hAnsiTheme="minorHAnsi"/>
              </w:rPr>
              <w:t xml:space="preserve"> </w:t>
            </w:r>
            <w:r w:rsidRPr="005B0A96">
              <w:rPr>
                <w:rFonts w:asciiTheme="minorHAnsi" w:hAnsiTheme="minorHAnsi"/>
              </w:rPr>
              <w:t>41(1)(c))</w:t>
            </w:r>
          </w:p>
        </w:tc>
        <w:tc>
          <w:tcPr>
            <w:tcW w:w="3497" w:type="dxa"/>
          </w:tcPr>
          <w:p w14:paraId="57C5B277" w14:textId="15CAB67C" w:rsidR="005B0A96" w:rsidRPr="00933431" w:rsidRDefault="005B0A96" w:rsidP="00933431">
            <w:pPr>
              <w:pStyle w:val="TablecopyTables"/>
            </w:pPr>
            <w:r w:rsidRPr="00933431">
              <w:t>NACC Act: s</w:t>
            </w:r>
            <w:r w:rsidR="00AB7525" w:rsidRPr="00933431">
              <w:t xml:space="preserve"> </w:t>
            </w:r>
            <w:r w:rsidRPr="00933431">
              <w:t>271(2)(a)(ii)</w:t>
            </w:r>
          </w:p>
          <w:p w14:paraId="54B0F26B" w14:textId="29308ECB" w:rsidR="005B0A96" w:rsidRDefault="005B0A96" w:rsidP="005B0A96">
            <w:pPr>
              <w:spacing w:before="120" w:after="120"/>
              <w:rPr>
                <w:lang w:val="en-GB"/>
              </w:rPr>
            </w:pPr>
            <w:r w:rsidRPr="005B0A96">
              <w:rPr>
                <w:rFonts w:asciiTheme="minorHAnsi" w:hAnsiTheme="minorHAnsi"/>
              </w:rPr>
              <w:t>NACC Regulations: s</w:t>
            </w:r>
            <w:r w:rsidR="00AB7525">
              <w:rPr>
                <w:rFonts w:asciiTheme="minorHAnsi" w:hAnsiTheme="minorHAnsi"/>
              </w:rPr>
              <w:t xml:space="preserve"> </w:t>
            </w:r>
            <w:r w:rsidRPr="005B0A96">
              <w:rPr>
                <w:rFonts w:asciiTheme="minorHAnsi" w:hAnsiTheme="minorHAnsi"/>
              </w:rPr>
              <w:t>28(2)(c)</w:t>
            </w:r>
          </w:p>
        </w:tc>
      </w:tr>
      <w:tr w:rsidR="004A4A70" w14:paraId="7BE978AC"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6E3A4EBE" w14:textId="2EBB05C2" w:rsidR="005B0A96" w:rsidRDefault="005B0A96" w:rsidP="005B0A96">
            <w:pPr>
              <w:spacing w:before="120" w:after="120"/>
              <w:rPr>
                <w:lang w:val="en-GB"/>
              </w:rPr>
            </w:pPr>
            <w:r w:rsidRPr="005B0A96">
              <w:rPr>
                <w:rFonts w:asciiTheme="minorHAnsi" w:hAnsiTheme="minorHAnsi"/>
              </w:rPr>
              <w:lastRenderedPageBreak/>
              <w:t>7</w:t>
            </w:r>
          </w:p>
        </w:tc>
        <w:tc>
          <w:tcPr>
            <w:tcW w:w="4858" w:type="dxa"/>
          </w:tcPr>
          <w:p w14:paraId="4DEBC782" w14:textId="046E64F1" w:rsidR="005B0A96" w:rsidRDefault="005B0A96" w:rsidP="005B0A96">
            <w:pPr>
              <w:spacing w:before="120" w:after="120"/>
              <w:rPr>
                <w:lang w:val="en-GB"/>
              </w:rPr>
            </w:pPr>
            <w:r w:rsidRPr="005B0A96">
              <w:rPr>
                <w:rFonts w:asciiTheme="minorHAnsi" w:hAnsiTheme="minorHAnsi"/>
              </w:rPr>
              <w:t>Number of corruption Issues referred to a Commonwealth agency or a state or territory government entity for consideration (decisions under s</w:t>
            </w:r>
            <w:r w:rsidR="00AB7525">
              <w:rPr>
                <w:rFonts w:asciiTheme="minorHAnsi" w:hAnsiTheme="minorHAnsi"/>
              </w:rPr>
              <w:t xml:space="preserve"> </w:t>
            </w:r>
            <w:r w:rsidRPr="005B0A96">
              <w:rPr>
                <w:rFonts w:asciiTheme="minorHAnsi" w:hAnsiTheme="minorHAnsi"/>
              </w:rPr>
              <w:t>41(1)(d))</w:t>
            </w:r>
          </w:p>
        </w:tc>
        <w:tc>
          <w:tcPr>
            <w:tcW w:w="3497" w:type="dxa"/>
          </w:tcPr>
          <w:p w14:paraId="2D7CA549" w14:textId="4F818409" w:rsidR="005B0A96" w:rsidRPr="00933431" w:rsidRDefault="005B0A96" w:rsidP="00933431">
            <w:pPr>
              <w:pStyle w:val="TablecopyTables"/>
            </w:pPr>
            <w:r w:rsidRPr="00933431">
              <w:t>NACC Act: s</w:t>
            </w:r>
            <w:r w:rsidR="00AB7525" w:rsidRPr="00933431">
              <w:t xml:space="preserve"> </w:t>
            </w:r>
            <w:r w:rsidRPr="00933431">
              <w:t>271(2)(a)(ii)</w:t>
            </w:r>
          </w:p>
          <w:p w14:paraId="6951A30F" w14:textId="1390FC18" w:rsidR="005B0A96" w:rsidRDefault="005B0A96" w:rsidP="005B0A96">
            <w:pPr>
              <w:spacing w:before="120" w:after="120"/>
              <w:rPr>
                <w:lang w:val="en-GB"/>
              </w:rPr>
            </w:pPr>
            <w:r w:rsidRPr="005B0A96">
              <w:rPr>
                <w:rFonts w:asciiTheme="minorHAnsi" w:hAnsiTheme="minorHAnsi"/>
              </w:rPr>
              <w:t>NACC Regulations: s</w:t>
            </w:r>
            <w:r w:rsidR="00AB7525">
              <w:rPr>
                <w:rFonts w:asciiTheme="minorHAnsi" w:hAnsiTheme="minorHAnsi"/>
              </w:rPr>
              <w:t xml:space="preserve"> </w:t>
            </w:r>
            <w:r w:rsidRPr="005B0A96">
              <w:rPr>
                <w:rFonts w:asciiTheme="minorHAnsi" w:hAnsiTheme="minorHAnsi"/>
              </w:rPr>
              <w:t>28(2)(d)</w:t>
            </w:r>
          </w:p>
        </w:tc>
      </w:tr>
      <w:tr w:rsidR="005B0A96" w14:paraId="7A6ED92D" w14:textId="77777777" w:rsidTr="00FE6491">
        <w:tc>
          <w:tcPr>
            <w:tcW w:w="671" w:type="dxa"/>
          </w:tcPr>
          <w:p w14:paraId="1354E65C" w14:textId="098E7B34" w:rsidR="005B0A96" w:rsidRPr="005B0A96" w:rsidRDefault="005B0A96" w:rsidP="005B0A96">
            <w:pPr>
              <w:spacing w:before="120" w:after="120"/>
              <w:rPr>
                <w:rFonts w:asciiTheme="minorHAnsi" w:hAnsiTheme="minorHAnsi"/>
              </w:rPr>
            </w:pPr>
            <w:r w:rsidRPr="005B0A96">
              <w:rPr>
                <w:rFonts w:asciiTheme="minorHAnsi" w:hAnsiTheme="minorHAnsi"/>
              </w:rPr>
              <w:t>8</w:t>
            </w:r>
          </w:p>
        </w:tc>
        <w:tc>
          <w:tcPr>
            <w:tcW w:w="4858" w:type="dxa"/>
          </w:tcPr>
          <w:p w14:paraId="3B16085A" w14:textId="48884C8C" w:rsidR="005B0A96" w:rsidRPr="005B0A96" w:rsidRDefault="005B0A96" w:rsidP="005B0A96">
            <w:pPr>
              <w:spacing w:before="120" w:after="120"/>
              <w:rPr>
                <w:rFonts w:asciiTheme="minorHAnsi" w:hAnsiTheme="minorHAnsi"/>
              </w:rPr>
            </w:pPr>
            <w:r w:rsidRPr="005B0A96">
              <w:rPr>
                <w:rFonts w:asciiTheme="minorHAnsi" w:hAnsiTheme="minorHAnsi"/>
              </w:rPr>
              <w:t>Number of corruption issues where the decision is to take no action (decisions under s</w:t>
            </w:r>
            <w:r w:rsidR="00AB7525">
              <w:rPr>
                <w:rFonts w:asciiTheme="minorHAnsi" w:hAnsiTheme="minorHAnsi"/>
              </w:rPr>
              <w:t xml:space="preserve"> </w:t>
            </w:r>
            <w:r w:rsidRPr="005B0A96">
              <w:rPr>
                <w:rFonts w:asciiTheme="minorHAnsi" w:hAnsiTheme="minorHAnsi"/>
              </w:rPr>
              <w:t>41(6))</w:t>
            </w:r>
          </w:p>
        </w:tc>
        <w:tc>
          <w:tcPr>
            <w:tcW w:w="3497" w:type="dxa"/>
          </w:tcPr>
          <w:p w14:paraId="7189D0DB" w14:textId="44E39F5C" w:rsidR="005B0A96" w:rsidRPr="00933431" w:rsidRDefault="005B0A96" w:rsidP="00933431">
            <w:pPr>
              <w:pStyle w:val="TablecopyTables"/>
            </w:pPr>
            <w:r w:rsidRPr="00933431">
              <w:t>NACC Act: s</w:t>
            </w:r>
            <w:r w:rsidR="00AB7525" w:rsidRPr="00933431">
              <w:t xml:space="preserve"> </w:t>
            </w:r>
            <w:r w:rsidRPr="00933431">
              <w:t>271(2)(a)(ii)</w:t>
            </w:r>
          </w:p>
          <w:p w14:paraId="574B2F9F" w14:textId="2D94F88E"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28(2)(e)</w:t>
            </w:r>
          </w:p>
        </w:tc>
      </w:tr>
      <w:tr w:rsidR="005B0A96" w14:paraId="038100C8"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2C3A137A" w14:textId="0707B08E" w:rsidR="005B0A96" w:rsidRPr="005B0A96" w:rsidRDefault="005B0A96" w:rsidP="005B0A96">
            <w:pPr>
              <w:spacing w:before="120" w:after="120"/>
              <w:rPr>
                <w:rFonts w:asciiTheme="minorHAnsi" w:hAnsiTheme="minorHAnsi"/>
              </w:rPr>
            </w:pPr>
            <w:r w:rsidRPr="005B0A96">
              <w:rPr>
                <w:rFonts w:asciiTheme="minorHAnsi" w:hAnsiTheme="minorHAnsi"/>
              </w:rPr>
              <w:t>9</w:t>
            </w:r>
          </w:p>
        </w:tc>
        <w:tc>
          <w:tcPr>
            <w:tcW w:w="4858" w:type="dxa"/>
          </w:tcPr>
          <w:p w14:paraId="4B09FD05" w14:textId="5186BE27" w:rsidR="005B0A96" w:rsidRPr="005B0A96" w:rsidRDefault="005B0A96" w:rsidP="005B0A96">
            <w:pPr>
              <w:spacing w:before="120" w:after="120"/>
              <w:rPr>
                <w:rFonts w:asciiTheme="minorHAnsi" w:hAnsiTheme="minorHAnsi"/>
              </w:rPr>
            </w:pPr>
            <w:r w:rsidRPr="005B0A96">
              <w:rPr>
                <w:rFonts w:asciiTheme="minorHAnsi" w:hAnsiTheme="minorHAnsi"/>
              </w:rPr>
              <w:t>Number of s</w:t>
            </w:r>
            <w:r w:rsidR="00AB7525">
              <w:rPr>
                <w:rFonts w:asciiTheme="minorHAnsi" w:hAnsiTheme="minorHAnsi"/>
              </w:rPr>
              <w:t xml:space="preserve"> </w:t>
            </w:r>
            <w:r w:rsidRPr="005B0A96">
              <w:rPr>
                <w:rFonts w:asciiTheme="minorHAnsi" w:hAnsiTheme="minorHAnsi"/>
              </w:rPr>
              <w:t xml:space="preserve">41(2) investigations completed </w:t>
            </w:r>
          </w:p>
        </w:tc>
        <w:tc>
          <w:tcPr>
            <w:tcW w:w="3497" w:type="dxa"/>
          </w:tcPr>
          <w:p w14:paraId="0688351F" w14:textId="77186D9A" w:rsidR="005B0A96" w:rsidRPr="00933431" w:rsidRDefault="005B0A96" w:rsidP="00933431">
            <w:pPr>
              <w:pStyle w:val="TablecopyTables"/>
            </w:pPr>
            <w:r w:rsidRPr="00933431">
              <w:t>NACC Act: s</w:t>
            </w:r>
            <w:r w:rsidR="00AB7525" w:rsidRPr="00933431">
              <w:t xml:space="preserve"> </w:t>
            </w:r>
            <w:r w:rsidRPr="00933431">
              <w:t>271(2)(a)(iii)</w:t>
            </w:r>
          </w:p>
          <w:p w14:paraId="593C9084" w14:textId="2DFAB181"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29(a)</w:t>
            </w:r>
          </w:p>
        </w:tc>
      </w:tr>
      <w:tr w:rsidR="005B0A96" w14:paraId="0079180A" w14:textId="77777777" w:rsidTr="00FE6491">
        <w:tc>
          <w:tcPr>
            <w:tcW w:w="671" w:type="dxa"/>
          </w:tcPr>
          <w:p w14:paraId="1B4CA4A9" w14:textId="409BE843" w:rsidR="005B0A96" w:rsidRPr="005B0A96" w:rsidRDefault="005B0A96" w:rsidP="005B0A96">
            <w:pPr>
              <w:spacing w:before="120" w:after="120"/>
              <w:rPr>
                <w:rFonts w:asciiTheme="minorHAnsi" w:hAnsiTheme="minorHAnsi"/>
              </w:rPr>
            </w:pPr>
            <w:r w:rsidRPr="005B0A96">
              <w:rPr>
                <w:rFonts w:asciiTheme="minorHAnsi" w:hAnsiTheme="minorHAnsi"/>
              </w:rPr>
              <w:t>10</w:t>
            </w:r>
          </w:p>
        </w:tc>
        <w:tc>
          <w:tcPr>
            <w:tcW w:w="4858" w:type="dxa"/>
          </w:tcPr>
          <w:p w14:paraId="6655ABF4" w14:textId="77BBD641" w:rsidR="005B0A96" w:rsidRPr="005B0A96" w:rsidRDefault="005B0A96" w:rsidP="005B0A96">
            <w:pPr>
              <w:spacing w:before="120" w:after="120"/>
              <w:rPr>
                <w:rFonts w:asciiTheme="minorHAnsi" w:hAnsiTheme="minorHAnsi"/>
              </w:rPr>
            </w:pPr>
            <w:r w:rsidRPr="005B0A96">
              <w:rPr>
                <w:rFonts w:asciiTheme="minorHAnsi" w:hAnsiTheme="minorHAnsi"/>
              </w:rPr>
              <w:t>Number of s</w:t>
            </w:r>
            <w:r w:rsidR="00AB7525">
              <w:rPr>
                <w:rFonts w:asciiTheme="minorHAnsi" w:hAnsiTheme="minorHAnsi"/>
              </w:rPr>
              <w:t xml:space="preserve"> </w:t>
            </w:r>
            <w:r w:rsidRPr="005B0A96">
              <w:rPr>
                <w:rFonts w:asciiTheme="minorHAnsi" w:hAnsiTheme="minorHAnsi"/>
              </w:rPr>
              <w:t>41(2) investigations ongoing at the end of the reporting period (including any commenced prior to the reporting period)</w:t>
            </w:r>
          </w:p>
        </w:tc>
        <w:tc>
          <w:tcPr>
            <w:tcW w:w="3497" w:type="dxa"/>
          </w:tcPr>
          <w:p w14:paraId="4444257A" w14:textId="288BF9FD" w:rsidR="005B0A96" w:rsidRPr="00933431" w:rsidRDefault="005B0A96" w:rsidP="00933431">
            <w:pPr>
              <w:pStyle w:val="TablecopyTables"/>
            </w:pPr>
            <w:r w:rsidRPr="00933431">
              <w:t>NACC Act: s</w:t>
            </w:r>
            <w:r w:rsidR="00AB7525" w:rsidRPr="00933431">
              <w:t xml:space="preserve"> </w:t>
            </w:r>
            <w:r w:rsidRPr="00933431">
              <w:t>271(2)(a)(iii)</w:t>
            </w:r>
          </w:p>
          <w:p w14:paraId="7FB29132" w14:textId="784AFACD"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29(b)</w:t>
            </w:r>
          </w:p>
        </w:tc>
      </w:tr>
      <w:tr w:rsidR="005B0A96" w14:paraId="374E2DE6"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6F126C4F" w14:textId="4D4398DD" w:rsidR="005B0A96" w:rsidRPr="005B0A96" w:rsidRDefault="005B0A96" w:rsidP="005B0A96">
            <w:pPr>
              <w:spacing w:before="120" w:after="120"/>
              <w:rPr>
                <w:rFonts w:asciiTheme="minorHAnsi" w:hAnsiTheme="minorHAnsi"/>
              </w:rPr>
            </w:pPr>
            <w:r w:rsidRPr="005B0A96">
              <w:rPr>
                <w:rFonts w:asciiTheme="minorHAnsi" w:hAnsiTheme="minorHAnsi"/>
              </w:rPr>
              <w:t>11</w:t>
            </w:r>
          </w:p>
        </w:tc>
        <w:tc>
          <w:tcPr>
            <w:tcW w:w="4858" w:type="dxa"/>
          </w:tcPr>
          <w:p w14:paraId="30D1FC59" w14:textId="4792C595" w:rsidR="005B0A96" w:rsidRPr="005B0A96" w:rsidRDefault="005B0A96" w:rsidP="005B0A96">
            <w:pPr>
              <w:spacing w:before="120" w:after="120"/>
              <w:rPr>
                <w:rFonts w:asciiTheme="minorHAnsi" w:hAnsiTheme="minorHAnsi"/>
              </w:rPr>
            </w:pPr>
            <w:r w:rsidRPr="005B0A96">
              <w:rPr>
                <w:rFonts w:asciiTheme="minorHAnsi" w:hAnsiTheme="minorHAnsi"/>
              </w:rPr>
              <w:t>Number of corruption issues referred to a Commonwealth agency for investigation (decisions under s</w:t>
            </w:r>
            <w:r w:rsidR="00AB7525">
              <w:rPr>
                <w:rFonts w:asciiTheme="minorHAnsi" w:hAnsiTheme="minorHAnsi"/>
              </w:rPr>
              <w:t xml:space="preserve"> </w:t>
            </w:r>
            <w:r w:rsidRPr="005B0A96">
              <w:rPr>
                <w:rFonts w:asciiTheme="minorHAnsi" w:hAnsiTheme="minorHAnsi"/>
              </w:rPr>
              <w:t>41(1)(c)), that were referred, investigated and completed during the reporting period</w:t>
            </w:r>
          </w:p>
        </w:tc>
        <w:tc>
          <w:tcPr>
            <w:tcW w:w="3497" w:type="dxa"/>
          </w:tcPr>
          <w:p w14:paraId="4632950E" w14:textId="37B9C8C0" w:rsidR="005B0A96" w:rsidRPr="00933431" w:rsidRDefault="005B0A96" w:rsidP="00933431">
            <w:pPr>
              <w:pStyle w:val="TablecopyTables"/>
            </w:pPr>
            <w:r w:rsidRPr="00933431">
              <w:t>NACC Act: s</w:t>
            </w:r>
            <w:r w:rsidR="00AB7525" w:rsidRPr="00933431">
              <w:t xml:space="preserve"> </w:t>
            </w:r>
            <w:r w:rsidRPr="00933431">
              <w:t>271(2)(a)(iv)</w:t>
            </w:r>
          </w:p>
          <w:p w14:paraId="02CAC0AC" w14:textId="472BCB7F"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30(a)</w:t>
            </w:r>
          </w:p>
        </w:tc>
      </w:tr>
      <w:tr w:rsidR="005B0A96" w14:paraId="52C0E7C6" w14:textId="77777777" w:rsidTr="00FE6491">
        <w:tc>
          <w:tcPr>
            <w:tcW w:w="671" w:type="dxa"/>
          </w:tcPr>
          <w:p w14:paraId="6F20B21A" w14:textId="4D888B98" w:rsidR="005B0A96" w:rsidRPr="005B0A96" w:rsidRDefault="005B0A96" w:rsidP="005B0A96">
            <w:pPr>
              <w:spacing w:before="120" w:after="120"/>
              <w:rPr>
                <w:rFonts w:asciiTheme="minorHAnsi" w:hAnsiTheme="minorHAnsi"/>
              </w:rPr>
            </w:pPr>
            <w:r w:rsidRPr="005B0A96">
              <w:rPr>
                <w:rFonts w:asciiTheme="minorHAnsi" w:hAnsiTheme="minorHAnsi"/>
              </w:rPr>
              <w:t>12</w:t>
            </w:r>
          </w:p>
        </w:tc>
        <w:tc>
          <w:tcPr>
            <w:tcW w:w="4858" w:type="dxa"/>
          </w:tcPr>
          <w:p w14:paraId="545D78A5" w14:textId="5A188364" w:rsidR="005B0A96" w:rsidRPr="005B0A96" w:rsidRDefault="005B0A96" w:rsidP="005B0A96">
            <w:pPr>
              <w:spacing w:before="120" w:after="120"/>
              <w:rPr>
                <w:rFonts w:asciiTheme="minorHAnsi" w:hAnsiTheme="minorHAnsi"/>
              </w:rPr>
            </w:pPr>
            <w:r w:rsidRPr="005B0A96">
              <w:rPr>
                <w:rFonts w:asciiTheme="minorHAnsi" w:hAnsiTheme="minorHAnsi"/>
              </w:rPr>
              <w:t>Number of corruption issues referred to a Commonwealth agency for investigation (decisions under s</w:t>
            </w:r>
            <w:r w:rsidR="00AB7525">
              <w:rPr>
                <w:rFonts w:asciiTheme="minorHAnsi" w:hAnsiTheme="minorHAnsi"/>
              </w:rPr>
              <w:t xml:space="preserve"> </w:t>
            </w:r>
            <w:r w:rsidRPr="005B0A96">
              <w:rPr>
                <w:rFonts w:asciiTheme="minorHAnsi" w:hAnsiTheme="minorHAnsi"/>
              </w:rPr>
              <w:t xml:space="preserve">41(1)(c)) where there is oversight by the Commissioner </w:t>
            </w:r>
          </w:p>
        </w:tc>
        <w:tc>
          <w:tcPr>
            <w:tcW w:w="3497" w:type="dxa"/>
          </w:tcPr>
          <w:p w14:paraId="23A99D69" w14:textId="2AD8460D" w:rsidR="005B0A96" w:rsidRPr="00933431" w:rsidRDefault="005B0A96" w:rsidP="00933431">
            <w:pPr>
              <w:pStyle w:val="TablecopyTables"/>
            </w:pPr>
            <w:r w:rsidRPr="00933431">
              <w:t>NACC Act: s</w:t>
            </w:r>
            <w:r w:rsidR="00AB7525" w:rsidRPr="00933431">
              <w:t xml:space="preserve"> </w:t>
            </w:r>
            <w:r w:rsidRPr="00933431">
              <w:t>271(2)(a)(iv)</w:t>
            </w:r>
          </w:p>
          <w:p w14:paraId="20EA2CAF" w14:textId="287E980F"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30(b)</w:t>
            </w:r>
          </w:p>
        </w:tc>
      </w:tr>
      <w:tr w:rsidR="005B0A96" w14:paraId="466B02D6"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385A0B0A" w14:textId="1258A67C" w:rsidR="005B0A96" w:rsidRPr="005B0A96" w:rsidRDefault="005B0A96" w:rsidP="005B0A96">
            <w:pPr>
              <w:spacing w:before="120" w:after="120"/>
              <w:rPr>
                <w:rFonts w:asciiTheme="minorHAnsi" w:hAnsiTheme="minorHAnsi"/>
              </w:rPr>
            </w:pPr>
            <w:r w:rsidRPr="005B0A96">
              <w:rPr>
                <w:rFonts w:asciiTheme="minorHAnsi" w:hAnsiTheme="minorHAnsi"/>
              </w:rPr>
              <w:lastRenderedPageBreak/>
              <w:t>13</w:t>
            </w:r>
          </w:p>
        </w:tc>
        <w:tc>
          <w:tcPr>
            <w:tcW w:w="4858" w:type="dxa"/>
          </w:tcPr>
          <w:p w14:paraId="716643F0" w14:textId="6DF7953F" w:rsidR="005B0A96" w:rsidRPr="005B0A96" w:rsidRDefault="005B0A96" w:rsidP="005B0A96">
            <w:pPr>
              <w:spacing w:before="120" w:after="120"/>
              <w:rPr>
                <w:rFonts w:asciiTheme="minorHAnsi" w:hAnsiTheme="minorHAnsi"/>
              </w:rPr>
            </w:pPr>
            <w:r w:rsidRPr="005B0A96">
              <w:rPr>
                <w:rFonts w:asciiTheme="minorHAnsi" w:hAnsiTheme="minorHAnsi"/>
              </w:rPr>
              <w:t xml:space="preserve">Number of public inquiries completed </w:t>
            </w:r>
          </w:p>
        </w:tc>
        <w:tc>
          <w:tcPr>
            <w:tcW w:w="3497" w:type="dxa"/>
          </w:tcPr>
          <w:p w14:paraId="4E25868D" w14:textId="54C52E20" w:rsidR="005B0A96" w:rsidRPr="00933431" w:rsidRDefault="005B0A96" w:rsidP="00933431">
            <w:pPr>
              <w:pStyle w:val="TablecopyTables"/>
            </w:pPr>
            <w:r w:rsidRPr="00933431">
              <w:t>NACC Act: s</w:t>
            </w:r>
            <w:r w:rsidR="00AB7525" w:rsidRPr="00933431">
              <w:t xml:space="preserve"> </w:t>
            </w:r>
            <w:r w:rsidRPr="00933431">
              <w:t>271(2)(a)(v)</w:t>
            </w:r>
          </w:p>
          <w:p w14:paraId="7B494F10" w14:textId="05171B86"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31(1)(a)</w:t>
            </w:r>
          </w:p>
        </w:tc>
      </w:tr>
      <w:tr w:rsidR="005B0A96" w14:paraId="7D1B7CF1" w14:textId="77777777" w:rsidTr="00FE6491">
        <w:tc>
          <w:tcPr>
            <w:tcW w:w="671" w:type="dxa"/>
          </w:tcPr>
          <w:p w14:paraId="692BB013" w14:textId="2295367E" w:rsidR="005B0A96" w:rsidRPr="005B0A96" w:rsidRDefault="005B0A96" w:rsidP="005B0A96">
            <w:pPr>
              <w:spacing w:before="120" w:after="120"/>
              <w:rPr>
                <w:rFonts w:asciiTheme="minorHAnsi" w:hAnsiTheme="minorHAnsi"/>
              </w:rPr>
            </w:pPr>
            <w:r w:rsidRPr="005B0A96">
              <w:rPr>
                <w:rFonts w:asciiTheme="minorHAnsi" w:hAnsiTheme="minorHAnsi"/>
              </w:rPr>
              <w:t>14</w:t>
            </w:r>
          </w:p>
        </w:tc>
        <w:tc>
          <w:tcPr>
            <w:tcW w:w="4858" w:type="dxa"/>
          </w:tcPr>
          <w:p w14:paraId="4C0EA79C" w14:textId="51584CE0" w:rsidR="005B0A96" w:rsidRPr="005B0A96" w:rsidRDefault="005B0A96" w:rsidP="005B0A96">
            <w:pPr>
              <w:spacing w:before="120" w:after="120"/>
              <w:rPr>
                <w:rFonts w:asciiTheme="minorHAnsi" w:hAnsiTheme="minorHAnsi"/>
              </w:rPr>
            </w:pPr>
            <w:r w:rsidRPr="005B0A96">
              <w:rPr>
                <w:rFonts w:asciiTheme="minorHAnsi" w:hAnsiTheme="minorHAnsi"/>
              </w:rPr>
              <w:t>Number of public inquiries ongoing at the end of the reporting period (including any commenced prior to the reporting period)</w:t>
            </w:r>
          </w:p>
        </w:tc>
        <w:tc>
          <w:tcPr>
            <w:tcW w:w="3497" w:type="dxa"/>
          </w:tcPr>
          <w:p w14:paraId="438A03B1" w14:textId="072BE64B" w:rsidR="005B0A96" w:rsidRPr="00933431" w:rsidRDefault="005B0A96" w:rsidP="00933431">
            <w:pPr>
              <w:pStyle w:val="TablecopyTables"/>
            </w:pPr>
            <w:r w:rsidRPr="00933431">
              <w:t>NACC Act: s</w:t>
            </w:r>
            <w:r w:rsidR="00AB7525" w:rsidRPr="00933431">
              <w:t xml:space="preserve"> </w:t>
            </w:r>
            <w:r w:rsidRPr="00933431">
              <w:t>271(2)(a)(v)</w:t>
            </w:r>
          </w:p>
          <w:p w14:paraId="6940FC49" w14:textId="24365717"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31(1)(b)</w:t>
            </w:r>
          </w:p>
        </w:tc>
      </w:tr>
      <w:tr w:rsidR="005B0A96" w14:paraId="16A15CE3"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550F9E31" w14:textId="47753B18" w:rsidR="005B0A96" w:rsidRPr="005B0A96" w:rsidRDefault="005B0A96" w:rsidP="005B0A96">
            <w:pPr>
              <w:spacing w:before="120" w:after="120"/>
              <w:rPr>
                <w:rFonts w:asciiTheme="minorHAnsi" w:hAnsiTheme="minorHAnsi"/>
              </w:rPr>
            </w:pPr>
            <w:r w:rsidRPr="005B0A96">
              <w:rPr>
                <w:rFonts w:asciiTheme="minorHAnsi" w:hAnsiTheme="minorHAnsi"/>
              </w:rPr>
              <w:t>15</w:t>
            </w:r>
          </w:p>
        </w:tc>
        <w:tc>
          <w:tcPr>
            <w:tcW w:w="4858" w:type="dxa"/>
          </w:tcPr>
          <w:p w14:paraId="53348F3F" w14:textId="4C42337B" w:rsidR="005B0A96" w:rsidRPr="005B0A96" w:rsidRDefault="005B0A96" w:rsidP="005B0A96">
            <w:pPr>
              <w:spacing w:before="120" w:after="120"/>
              <w:rPr>
                <w:rFonts w:asciiTheme="minorHAnsi" w:hAnsiTheme="minorHAnsi"/>
              </w:rPr>
            </w:pPr>
            <w:r w:rsidRPr="005B0A96">
              <w:rPr>
                <w:rFonts w:asciiTheme="minorHAnsi" w:hAnsiTheme="minorHAnsi"/>
              </w:rPr>
              <w:t>Number of s</w:t>
            </w:r>
            <w:r w:rsidR="00AB7525">
              <w:rPr>
                <w:rFonts w:asciiTheme="minorHAnsi" w:hAnsiTheme="minorHAnsi"/>
              </w:rPr>
              <w:t xml:space="preserve"> </w:t>
            </w:r>
            <w:r w:rsidRPr="005B0A96">
              <w:rPr>
                <w:rFonts w:asciiTheme="minorHAnsi" w:hAnsiTheme="minorHAnsi"/>
              </w:rPr>
              <w:t>235 certificates issued by the Attorney-General</w:t>
            </w:r>
          </w:p>
        </w:tc>
        <w:tc>
          <w:tcPr>
            <w:tcW w:w="3497" w:type="dxa"/>
          </w:tcPr>
          <w:p w14:paraId="0D238251" w14:textId="670896C3" w:rsidR="005B0A96" w:rsidRPr="00933431" w:rsidRDefault="005B0A96" w:rsidP="00933431">
            <w:pPr>
              <w:pStyle w:val="TablecopyTables"/>
            </w:pPr>
            <w:r w:rsidRPr="00933431">
              <w:t>NACC Act:  s</w:t>
            </w:r>
            <w:r w:rsidR="00AB7525" w:rsidRPr="00933431">
              <w:t xml:space="preserve"> </w:t>
            </w:r>
            <w:r w:rsidRPr="00933431">
              <w:t>271(2)(a)(vi)</w:t>
            </w:r>
          </w:p>
          <w:p w14:paraId="22684EBD" w14:textId="636B3D45"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32(1)</w:t>
            </w:r>
          </w:p>
        </w:tc>
      </w:tr>
      <w:tr w:rsidR="005B0A96" w14:paraId="61FE946D" w14:textId="77777777" w:rsidTr="00FE6491">
        <w:tc>
          <w:tcPr>
            <w:tcW w:w="671" w:type="dxa"/>
          </w:tcPr>
          <w:p w14:paraId="1550E728" w14:textId="7E910AD0" w:rsidR="005B0A96" w:rsidRPr="005B0A96" w:rsidRDefault="005B0A96" w:rsidP="005B0A96">
            <w:pPr>
              <w:spacing w:before="120" w:after="120"/>
              <w:rPr>
                <w:rFonts w:asciiTheme="minorHAnsi" w:hAnsiTheme="minorHAnsi"/>
              </w:rPr>
            </w:pPr>
            <w:r w:rsidRPr="005B0A96">
              <w:rPr>
                <w:rFonts w:asciiTheme="minorHAnsi" w:hAnsiTheme="minorHAnsi"/>
              </w:rPr>
              <w:t>16</w:t>
            </w:r>
          </w:p>
        </w:tc>
        <w:tc>
          <w:tcPr>
            <w:tcW w:w="4858" w:type="dxa"/>
          </w:tcPr>
          <w:p w14:paraId="5BC09C55" w14:textId="268CB631" w:rsidR="005B0A96" w:rsidRPr="005B0A96" w:rsidRDefault="005B0A96" w:rsidP="005B0A96">
            <w:pPr>
              <w:spacing w:before="120" w:after="120"/>
              <w:rPr>
                <w:rFonts w:asciiTheme="minorHAnsi" w:hAnsiTheme="minorHAnsi"/>
              </w:rPr>
            </w:pPr>
            <w:r w:rsidRPr="005B0A96">
              <w:rPr>
                <w:rFonts w:asciiTheme="minorHAnsi" w:hAnsiTheme="minorHAnsi"/>
              </w:rPr>
              <w:t>Number of s</w:t>
            </w:r>
            <w:r w:rsidR="00AB7525">
              <w:rPr>
                <w:rFonts w:asciiTheme="minorHAnsi" w:hAnsiTheme="minorHAnsi"/>
              </w:rPr>
              <w:t xml:space="preserve"> </w:t>
            </w:r>
            <w:r w:rsidRPr="005B0A96">
              <w:rPr>
                <w:rFonts w:asciiTheme="minorHAnsi" w:hAnsiTheme="minorHAnsi"/>
              </w:rPr>
              <w:t>236 (international relations) certificates issued by the Attorney-General</w:t>
            </w:r>
          </w:p>
        </w:tc>
        <w:tc>
          <w:tcPr>
            <w:tcW w:w="3497" w:type="dxa"/>
          </w:tcPr>
          <w:p w14:paraId="6FBE6DD8" w14:textId="5CC60FDC" w:rsidR="005B0A96" w:rsidRPr="00933431" w:rsidRDefault="005B0A96" w:rsidP="00933431">
            <w:pPr>
              <w:pStyle w:val="TablecopyTables"/>
            </w:pPr>
            <w:r w:rsidRPr="00933431">
              <w:t>NACC Act: s</w:t>
            </w:r>
            <w:r w:rsidR="00AB7525" w:rsidRPr="00933431">
              <w:t xml:space="preserve"> </w:t>
            </w:r>
            <w:r w:rsidRPr="00933431">
              <w:t>271(2)(a)(vii)</w:t>
            </w:r>
          </w:p>
          <w:p w14:paraId="073A4891" w14:textId="0A72329E"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32(2)</w:t>
            </w:r>
          </w:p>
        </w:tc>
      </w:tr>
      <w:tr w:rsidR="005B0A96" w14:paraId="1BCEE665"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1FBA05B7" w14:textId="6B6970AE" w:rsidR="005B0A96" w:rsidRPr="005B0A96" w:rsidRDefault="005B0A96" w:rsidP="005B0A96">
            <w:pPr>
              <w:spacing w:before="120" w:after="120"/>
              <w:rPr>
                <w:rFonts w:asciiTheme="minorHAnsi" w:hAnsiTheme="minorHAnsi"/>
              </w:rPr>
            </w:pPr>
            <w:r w:rsidRPr="005B0A96">
              <w:rPr>
                <w:rFonts w:asciiTheme="minorHAnsi" w:hAnsiTheme="minorHAnsi"/>
              </w:rPr>
              <w:t>17</w:t>
            </w:r>
          </w:p>
        </w:tc>
        <w:tc>
          <w:tcPr>
            <w:tcW w:w="4858" w:type="dxa"/>
          </w:tcPr>
          <w:p w14:paraId="3E79EE1C" w14:textId="4714A1B2" w:rsidR="005B0A96" w:rsidRPr="005B0A96" w:rsidRDefault="005B0A96" w:rsidP="005B0A96">
            <w:pPr>
              <w:spacing w:before="120" w:after="120"/>
              <w:rPr>
                <w:rFonts w:asciiTheme="minorHAnsi" w:hAnsiTheme="minorHAnsi"/>
              </w:rPr>
            </w:pPr>
            <w:r w:rsidRPr="005B0A96">
              <w:rPr>
                <w:rFonts w:asciiTheme="minorHAnsi" w:hAnsiTheme="minorHAnsi"/>
              </w:rPr>
              <w:t>Extent to which corruption investigations have resulted in prosecution of persons for offences</w:t>
            </w:r>
          </w:p>
        </w:tc>
        <w:tc>
          <w:tcPr>
            <w:tcW w:w="3497" w:type="dxa"/>
          </w:tcPr>
          <w:p w14:paraId="66B07D97" w14:textId="2ED3BE11" w:rsidR="005B0A96" w:rsidRPr="005B0A96" w:rsidRDefault="005B0A96" w:rsidP="005B0A96">
            <w:pPr>
              <w:pStyle w:val="NormalWeb"/>
              <w:spacing w:before="120" w:beforeAutospacing="0" w:after="120" w:afterAutospacing="0"/>
            </w:pPr>
            <w:r w:rsidRPr="005B0A96">
              <w:t>NACC Act: s</w:t>
            </w:r>
            <w:r w:rsidR="00AB7525">
              <w:t xml:space="preserve"> </w:t>
            </w:r>
            <w:r w:rsidRPr="005B0A96">
              <w:t>271(2)(e)</w:t>
            </w:r>
          </w:p>
        </w:tc>
      </w:tr>
      <w:tr w:rsidR="005B0A96" w14:paraId="47C68124" w14:textId="77777777" w:rsidTr="00FE6491">
        <w:tc>
          <w:tcPr>
            <w:tcW w:w="671" w:type="dxa"/>
          </w:tcPr>
          <w:p w14:paraId="6A04D17A" w14:textId="25550A9C" w:rsidR="005B0A96" w:rsidRPr="005B0A96" w:rsidRDefault="005B0A96" w:rsidP="005B0A96">
            <w:pPr>
              <w:spacing w:before="120" w:after="120"/>
              <w:rPr>
                <w:rFonts w:asciiTheme="minorHAnsi" w:hAnsiTheme="minorHAnsi"/>
              </w:rPr>
            </w:pPr>
            <w:r w:rsidRPr="005B0A96">
              <w:rPr>
                <w:rFonts w:asciiTheme="minorHAnsi" w:hAnsiTheme="minorHAnsi"/>
              </w:rPr>
              <w:t>18</w:t>
            </w:r>
          </w:p>
        </w:tc>
        <w:tc>
          <w:tcPr>
            <w:tcW w:w="4858" w:type="dxa"/>
          </w:tcPr>
          <w:p w14:paraId="55E5250A" w14:textId="4A84D5EB" w:rsidR="005B0A96" w:rsidRPr="005B0A96" w:rsidRDefault="005B0A96" w:rsidP="005B0A96">
            <w:pPr>
              <w:spacing w:before="120" w:after="120"/>
              <w:rPr>
                <w:rFonts w:asciiTheme="minorHAnsi" w:hAnsiTheme="minorHAnsi"/>
              </w:rPr>
            </w:pPr>
            <w:r w:rsidRPr="005B0A96">
              <w:rPr>
                <w:rFonts w:asciiTheme="minorHAnsi" w:hAnsiTheme="minorHAnsi"/>
              </w:rPr>
              <w:t>Extent to which corruption investigations have resulted in confiscation proceedings</w:t>
            </w:r>
          </w:p>
        </w:tc>
        <w:tc>
          <w:tcPr>
            <w:tcW w:w="3497" w:type="dxa"/>
          </w:tcPr>
          <w:p w14:paraId="52CAC3CD" w14:textId="0DA3DCEE" w:rsidR="005B0A96" w:rsidRPr="005B0A96" w:rsidRDefault="005B0A96" w:rsidP="005B0A96">
            <w:pPr>
              <w:pStyle w:val="NormalWeb"/>
              <w:spacing w:before="120" w:beforeAutospacing="0" w:after="120" w:afterAutospacing="0"/>
            </w:pPr>
            <w:r w:rsidRPr="005B0A96">
              <w:t>NACC Act: s</w:t>
            </w:r>
            <w:r w:rsidR="00AB7525">
              <w:t xml:space="preserve"> </w:t>
            </w:r>
            <w:r w:rsidRPr="005B0A96">
              <w:t>271(2)(f)</w:t>
            </w:r>
          </w:p>
        </w:tc>
      </w:tr>
      <w:tr w:rsidR="005B0A96" w14:paraId="0C43FC9B"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2D2F4E84" w14:textId="273E7ECE" w:rsidR="005B0A96" w:rsidRPr="005B0A96" w:rsidRDefault="005B0A96" w:rsidP="005B0A96">
            <w:pPr>
              <w:spacing w:before="120" w:after="120"/>
              <w:rPr>
                <w:rFonts w:asciiTheme="minorHAnsi" w:hAnsiTheme="minorHAnsi"/>
              </w:rPr>
            </w:pPr>
            <w:r w:rsidRPr="005B0A96">
              <w:rPr>
                <w:rFonts w:asciiTheme="minorHAnsi" w:hAnsiTheme="minorHAnsi"/>
              </w:rPr>
              <w:t>19</w:t>
            </w:r>
          </w:p>
        </w:tc>
        <w:tc>
          <w:tcPr>
            <w:tcW w:w="4858" w:type="dxa"/>
          </w:tcPr>
          <w:p w14:paraId="0AE3F373" w14:textId="23937D07" w:rsidR="005B0A96" w:rsidRPr="005B0A96" w:rsidRDefault="005B0A96" w:rsidP="005B0A96">
            <w:pPr>
              <w:spacing w:before="120" w:after="120"/>
              <w:rPr>
                <w:rFonts w:asciiTheme="minorHAnsi" w:hAnsiTheme="minorHAnsi"/>
              </w:rPr>
            </w:pPr>
            <w:r w:rsidRPr="005B0A96">
              <w:rPr>
                <w:rFonts w:asciiTheme="minorHAnsi" w:hAnsiTheme="minorHAnsi"/>
              </w:rPr>
              <w:t xml:space="preserve">Number and type of applications made for judicial review </w:t>
            </w:r>
          </w:p>
        </w:tc>
        <w:tc>
          <w:tcPr>
            <w:tcW w:w="3497" w:type="dxa"/>
          </w:tcPr>
          <w:p w14:paraId="65FF3FEB" w14:textId="7AC72353" w:rsidR="005B0A96" w:rsidRPr="005B0A96" w:rsidRDefault="005B0A96" w:rsidP="005B0A96">
            <w:pPr>
              <w:pStyle w:val="NormalWeb"/>
              <w:spacing w:before="120" w:beforeAutospacing="0" w:after="120" w:afterAutospacing="0"/>
            </w:pPr>
            <w:r w:rsidRPr="005B0A96">
              <w:t>NACC Act: s</w:t>
            </w:r>
            <w:r w:rsidR="00AB7525">
              <w:t xml:space="preserve"> </w:t>
            </w:r>
            <w:r w:rsidRPr="005B0A96">
              <w:t>271(2)(g)(</w:t>
            </w:r>
            <w:proofErr w:type="spellStart"/>
            <w:r w:rsidRPr="005B0A96">
              <w:t>i</w:t>
            </w:r>
            <w:proofErr w:type="spellEnd"/>
            <w:r w:rsidRPr="005B0A96">
              <w:t>)</w:t>
            </w:r>
          </w:p>
        </w:tc>
      </w:tr>
      <w:tr w:rsidR="005B0A96" w14:paraId="74D78AFB" w14:textId="77777777" w:rsidTr="00FE6491">
        <w:tc>
          <w:tcPr>
            <w:tcW w:w="671" w:type="dxa"/>
          </w:tcPr>
          <w:p w14:paraId="5A01F143" w14:textId="0BFBC396" w:rsidR="005B0A96" w:rsidRPr="005B0A96" w:rsidRDefault="005B0A96" w:rsidP="005B0A96">
            <w:pPr>
              <w:spacing w:before="120" w:after="120"/>
              <w:rPr>
                <w:rFonts w:asciiTheme="minorHAnsi" w:hAnsiTheme="minorHAnsi"/>
              </w:rPr>
            </w:pPr>
            <w:r w:rsidRPr="005B0A96">
              <w:rPr>
                <w:rFonts w:asciiTheme="minorHAnsi" w:hAnsiTheme="minorHAnsi"/>
              </w:rPr>
              <w:t>20</w:t>
            </w:r>
          </w:p>
        </w:tc>
        <w:tc>
          <w:tcPr>
            <w:tcW w:w="4858" w:type="dxa"/>
          </w:tcPr>
          <w:p w14:paraId="179183B0" w14:textId="548B0378" w:rsidR="005B0A96" w:rsidRPr="005B0A96" w:rsidRDefault="005B0A96" w:rsidP="005B0A96">
            <w:pPr>
              <w:spacing w:before="120" w:after="120"/>
              <w:rPr>
                <w:rFonts w:asciiTheme="minorHAnsi" w:hAnsiTheme="minorHAnsi"/>
              </w:rPr>
            </w:pPr>
            <w:r w:rsidRPr="005B0A96">
              <w:rPr>
                <w:rFonts w:asciiTheme="minorHAnsi" w:hAnsiTheme="minorHAnsi"/>
              </w:rPr>
              <w:t xml:space="preserve">Outcomes of applications made for judicial review </w:t>
            </w:r>
          </w:p>
        </w:tc>
        <w:tc>
          <w:tcPr>
            <w:tcW w:w="3497" w:type="dxa"/>
          </w:tcPr>
          <w:p w14:paraId="4475C370" w14:textId="41212BB4" w:rsidR="005B0A96" w:rsidRPr="005B0A96" w:rsidRDefault="005B0A96" w:rsidP="005B0A96">
            <w:pPr>
              <w:pStyle w:val="NormalWeb"/>
              <w:spacing w:before="120" w:beforeAutospacing="0" w:after="120" w:afterAutospacing="0"/>
            </w:pPr>
            <w:r w:rsidRPr="005B0A96">
              <w:t>NACC Act: s</w:t>
            </w:r>
            <w:r w:rsidR="00AB7525">
              <w:t xml:space="preserve"> </w:t>
            </w:r>
            <w:r w:rsidRPr="005B0A96">
              <w:t>271(2)(g)(</w:t>
            </w:r>
            <w:proofErr w:type="spellStart"/>
            <w:r w:rsidRPr="005B0A96">
              <w:t>i</w:t>
            </w:r>
            <w:proofErr w:type="spellEnd"/>
            <w:r w:rsidRPr="005B0A96">
              <w:t>)</w:t>
            </w:r>
          </w:p>
        </w:tc>
      </w:tr>
      <w:tr w:rsidR="005B0A96" w14:paraId="774CDD61"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588EDE5C" w14:textId="5AD5D85C" w:rsidR="005B0A96" w:rsidRPr="005B0A96" w:rsidRDefault="005B0A96" w:rsidP="005B0A96">
            <w:pPr>
              <w:spacing w:before="120" w:after="120"/>
              <w:rPr>
                <w:rFonts w:asciiTheme="minorHAnsi" w:hAnsiTheme="minorHAnsi"/>
              </w:rPr>
            </w:pPr>
            <w:r w:rsidRPr="005B0A96">
              <w:rPr>
                <w:rFonts w:asciiTheme="minorHAnsi" w:hAnsiTheme="minorHAnsi"/>
              </w:rPr>
              <w:t>21</w:t>
            </w:r>
          </w:p>
        </w:tc>
        <w:tc>
          <w:tcPr>
            <w:tcW w:w="4858" w:type="dxa"/>
          </w:tcPr>
          <w:p w14:paraId="7BF551A6" w14:textId="58DA20A8" w:rsidR="005B0A96" w:rsidRPr="005B0A96" w:rsidRDefault="005B0A96" w:rsidP="005B0A96">
            <w:pPr>
              <w:spacing w:before="120" w:after="120"/>
              <w:rPr>
                <w:rFonts w:asciiTheme="minorHAnsi" w:hAnsiTheme="minorHAnsi"/>
              </w:rPr>
            </w:pPr>
            <w:r w:rsidRPr="005B0A96">
              <w:rPr>
                <w:rFonts w:asciiTheme="minorHAnsi" w:hAnsiTheme="minorHAnsi"/>
              </w:rPr>
              <w:t>Number of other court proceedings involving the Commissioner</w:t>
            </w:r>
          </w:p>
        </w:tc>
        <w:tc>
          <w:tcPr>
            <w:tcW w:w="3497" w:type="dxa"/>
          </w:tcPr>
          <w:p w14:paraId="0D4A5288" w14:textId="16F6AF9E" w:rsidR="005B0A96" w:rsidRPr="005B0A96" w:rsidRDefault="005B0A96" w:rsidP="005B0A96">
            <w:pPr>
              <w:pStyle w:val="NormalWeb"/>
              <w:spacing w:before="120" w:beforeAutospacing="0" w:after="120" w:afterAutospacing="0"/>
            </w:pPr>
            <w:r w:rsidRPr="005B0A96">
              <w:t>NACC Act: s</w:t>
            </w:r>
            <w:r w:rsidR="00AB7525">
              <w:t xml:space="preserve"> </w:t>
            </w:r>
            <w:r w:rsidRPr="005B0A96">
              <w:t>271(2)(g)(ii)</w:t>
            </w:r>
          </w:p>
        </w:tc>
      </w:tr>
      <w:tr w:rsidR="005B0A96" w14:paraId="66DA912F" w14:textId="77777777" w:rsidTr="00FE6491">
        <w:tc>
          <w:tcPr>
            <w:tcW w:w="671" w:type="dxa"/>
          </w:tcPr>
          <w:p w14:paraId="3299374C" w14:textId="6A0095CF" w:rsidR="005B0A96" w:rsidRPr="005B0A96" w:rsidRDefault="005B0A96" w:rsidP="005B0A96">
            <w:pPr>
              <w:spacing w:before="120" w:after="120"/>
              <w:rPr>
                <w:rFonts w:asciiTheme="minorHAnsi" w:hAnsiTheme="minorHAnsi"/>
              </w:rPr>
            </w:pPr>
            <w:r w:rsidRPr="005B0A96">
              <w:rPr>
                <w:rFonts w:asciiTheme="minorHAnsi" w:hAnsiTheme="minorHAnsi"/>
              </w:rPr>
              <w:t>22</w:t>
            </w:r>
          </w:p>
        </w:tc>
        <w:tc>
          <w:tcPr>
            <w:tcW w:w="4858" w:type="dxa"/>
          </w:tcPr>
          <w:p w14:paraId="3AEB3869" w14:textId="338008F5" w:rsidR="005B0A96" w:rsidRPr="005B0A96" w:rsidRDefault="005B0A96" w:rsidP="005B0A96">
            <w:pPr>
              <w:spacing w:before="120" w:after="120"/>
              <w:rPr>
                <w:rFonts w:asciiTheme="minorHAnsi" w:hAnsiTheme="minorHAnsi"/>
              </w:rPr>
            </w:pPr>
            <w:r w:rsidRPr="005B0A96">
              <w:rPr>
                <w:rFonts w:asciiTheme="minorHAnsi" w:hAnsiTheme="minorHAnsi"/>
              </w:rPr>
              <w:t xml:space="preserve">Outcomes of other court proceedings involving the Commissioner </w:t>
            </w:r>
          </w:p>
        </w:tc>
        <w:tc>
          <w:tcPr>
            <w:tcW w:w="3497" w:type="dxa"/>
          </w:tcPr>
          <w:p w14:paraId="6CDFF583" w14:textId="1609043B" w:rsidR="005B0A96" w:rsidRPr="005B0A96" w:rsidRDefault="005B0A96" w:rsidP="005B0A96">
            <w:pPr>
              <w:pStyle w:val="NormalWeb"/>
              <w:spacing w:before="120" w:beforeAutospacing="0" w:after="120" w:afterAutospacing="0"/>
            </w:pPr>
            <w:r w:rsidRPr="005B0A96">
              <w:t>NACC Act: s</w:t>
            </w:r>
            <w:r w:rsidR="00AB7525">
              <w:t xml:space="preserve"> </w:t>
            </w:r>
            <w:r w:rsidRPr="005B0A96">
              <w:t>271(2)(g)(ii)</w:t>
            </w:r>
          </w:p>
        </w:tc>
      </w:tr>
      <w:tr w:rsidR="005B0A96" w14:paraId="5E3C0CA7"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43387021" w14:textId="40BE5622" w:rsidR="005B0A96" w:rsidRPr="005B0A96" w:rsidRDefault="005B0A96" w:rsidP="005B0A96">
            <w:pPr>
              <w:spacing w:before="120" w:after="120"/>
              <w:rPr>
                <w:rFonts w:asciiTheme="minorHAnsi" w:hAnsiTheme="minorHAnsi"/>
              </w:rPr>
            </w:pPr>
            <w:r w:rsidRPr="005B0A96">
              <w:rPr>
                <w:rFonts w:asciiTheme="minorHAnsi" w:hAnsiTheme="minorHAnsi"/>
              </w:rPr>
              <w:lastRenderedPageBreak/>
              <w:t>23</w:t>
            </w:r>
          </w:p>
        </w:tc>
        <w:tc>
          <w:tcPr>
            <w:tcW w:w="4858" w:type="dxa"/>
          </w:tcPr>
          <w:p w14:paraId="67327B9A" w14:textId="60FB2CAB" w:rsidR="005B0A96" w:rsidRPr="005B0A96" w:rsidRDefault="005B0A96" w:rsidP="005B0A96">
            <w:pPr>
              <w:spacing w:before="120" w:after="120"/>
              <w:rPr>
                <w:rFonts w:asciiTheme="minorHAnsi" w:hAnsiTheme="minorHAnsi"/>
              </w:rPr>
            </w:pPr>
            <w:r w:rsidRPr="005B0A96">
              <w:rPr>
                <w:rFonts w:asciiTheme="minorHAnsi" w:hAnsiTheme="minorHAnsi"/>
              </w:rPr>
              <w:t>A description of the kinds of corruption risks, corruption vulnerabilities or measures to prevent corruption into which the public inquiry or inquiries were conducted</w:t>
            </w:r>
          </w:p>
        </w:tc>
        <w:tc>
          <w:tcPr>
            <w:tcW w:w="3497" w:type="dxa"/>
          </w:tcPr>
          <w:p w14:paraId="1EED7F8E" w14:textId="166A181A" w:rsidR="005B0A96" w:rsidRPr="00933431" w:rsidRDefault="005B0A96" w:rsidP="00933431">
            <w:pPr>
              <w:pStyle w:val="TablecopyTables"/>
            </w:pPr>
            <w:r w:rsidRPr="00933431">
              <w:t>NACC Act: s</w:t>
            </w:r>
            <w:r w:rsidR="00AB7525" w:rsidRPr="00933431">
              <w:t xml:space="preserve"> </w:t>
            </w:r>
            <w:r w:rsidRPr="00933431">
              <w:t>271(2)(a)(v)</w:t>
            </w:r>
          </w:p>
          <w:p w14:paraId="16BCA614" w14:textId="3EB1DE0A" w:rsidR="005B0A96" w:rsidRPr="005B0A96" w:rsidRDefault="005B0A96" w:rsidP="005B0A96">
            <w:pPr>
              <w:pStyle w:val="NormalWeb"/>
              <w:spacing w:before="120" w:beforeAutospacing="0" w:after="120" w:afterAutospacing="0"/>
            </w:pPr>
            <w:r w:rsidRPr="005B0A96">
              <w:t>NACC Regulations: s</w:t>
            </w:r>
            <w:r w:rsidR="00AB7525">
              <w:t xml:space="preserve"> </w:t>
            </w:r>
            <w:r w:rsidRPr="005B0A96">
              <w:t>31(2)</w:t>
            </w:r>
          </w:p>
        </w:tc>
      </w:tr>
      <w:tr w:rsidR="005B0A96" w14:paraId="37E26A42" w14:textId="77777777" w:rsidTr="00FE6491">
        <w:tc>
          <w:tcPr>
            <w:tcW w:w="671" w:type="dxa"/>
          </w:tcPr>
          <w:p w14:paraId="382845C6" w14:textId="04133AA6" w:rsidR="005B0A96" w:rsidRPr="005B0A96" w:rsidRDefault="005B0A96" w:rsidP="005B0A96">
            <w:pPr>
              <w:spacing w:before="120" w:after="120"/>
              <w:rPr>
                <w:rFonts w:asciiTheme="minorHAnsi" w:hAnsiTheme="minorHAnsi"/>
              </w:rPr>
            </w:pPr>
            <w:r w:rsidRPr="005B0A96">
              <w:rPr>
                <w:rFonts w:asciiTheme="minorHAnsi" w:hAnsiTheme="minorHAnsi"/>
              </w:rPr>
              <w:t>24</w:t>
            </w:r>
          </w:p>
        </w:tc>
        <w:tc>
          <w:tcPr>
            <w:tcW w:w="4858" w:type="dxa"/>
          </w:tcPr>
          <w:p w14:paraId="7C098109" w14:textId="70BDAF85" w:rsidR="005B0A96" w:rsidRPr="005B0A96" w:rsidRDefault="005B0A96" w:rsidP="005B0A96">
            <w:pPr>
              <w:spacing w:before="120" w:after="120"/>
              <w:rPr>
                <w:rFonts w:asciiTheme="minorHAnsi" w:hAnsiTheme="minorHAnsi"/>
              </w:rPr>
            </w:pPr>
            <w:r w:rsidRPr="005B0A96">
              <w:rPr>
                <w:rFonts w:asciiTheme="minorHAnsi" w:hAnsiTheme="minorHAnsi"/>
              </w:rPr>
              <w:t>A description of the corruption investigations conducted by the Commissioner during that year that the Commissioner considers raise significant issues for, or reflect developments in, Commonwealth agencies</w:t>
            </w:r>
          </w:p>
        </w:tc>
        <w:tc>
          <w:tcPr>
            <w:tcW w:w="3497" w:type="dxa"/>
          </w:tcPr>
          <w:p w14:paraId="13A83ABF" w14:textId="3EAB0486" w:rsidR="005B0A96" w:rsidRPr="005B0A96" w:rsidRDefault="005B0A96" w:rsidP="005B0A96">
            <w:pPr>
              <w:pStyle w:val="NormalWeb"/>
              <w:spacing w:before="120" w:beforeAutospacing="0" w:after="120" w:afterAutospacing="0"/>
            </w:pPr>
            <w:r w:rsidRPr="005B0A96">
              <w:t>NACC Act: s</w:t>
            </w:r>
            <w:r w:rsidR="00AB7525">
              <w:t xml:space="preserve"> </w:t>
            </w:r>
            <w:r w:rsidRPr="005B0A96">
              <w:t>271(2)(b)</w:t>
            </w:r>
          </w:p>
        </w:tc>
      </w:tr>
      <w:tr w:rsidR="005B0A96" w14:paraId="202727AA" w14:textId="77777777" w:rsidTr="00FE6491">
        <w:trPr>
          <w:cnfStyle w:val="000000100000" w:firstRow="0" w:lastRow="0" w:firstColumn="0" w:lastColumn="0" w:oddVBand="0" w:evenVBand="0" w:oddHBand="1" w:evenHBand="0" w:firstRowFirstColumn="0" w:firstRowLastColumn="0" w:lastRowFirstColumn="0" w:lastRowLastColumn="0"/>
        </w:trPr>
        <w:tc>
          <w:tcPr>
            <w:tcW w:w="671" w:type="dxa"/>
          </w:tcPr>
          <w:p w14:paraId="3C9108BD" w14:textId="192962F3" w:rsidR="005B0A96" w:rsidRPr="005B0A96" w:rsidRDefault="005B0A96" w:rsidP="005B0A96">
            <w:pPr>
              <w:spacing w:before="120" w:after="120"/>
              <w:rPr>
                <w:rFonts w:asciiTheme="minorHAnsi" w:hAnsiTheme="minorHAnsi"/>
              </w:rPr>
            </w:pPr>
            <w:r w:rsidRPr="005B0A96">
              <w:rPr>
                <w:rFonts w:asciiTheme="minorHAnsi" w:hAnsiTheme="minorHAnsi"/>
              </w:rPr>
              <w:t>25</w:t>
            </w:r>
          </w:p>
        </w:tc>
        <w:tc>
          <w:tcPr>
            <w:tcW w:w="4858" w:type="dxa"/>
          </w:tcPr>
          <w:p w14:paraId="230920A4" w14:textId="63C5D4F9" w:rsidR="005B0A96" w:rsidRPr="005B0A96" w:rsidRDefault="005B0A96" w:rsidP="005B0A96">
            <w:pPr>
              <w:spacing w:before="120" w:after="120"/>
              <w:rPr>
                <w:rFonts w:asciiTheme="minorHAnsi" w:hAnsiTheme="minorHAnsi"/>
              </w:rPr>
            </w:pPr>
            <w:r w:rsidRPr="005B0A96">
              <w:rPr>
                <w:rFonts w:asciiTheme="minorHAnsi" w:hAnsiTheme="minorHAnsi"/>
              </w:rPr>
              <w:t>A description of any patterns or trends, and the nature and scope of corruption in Commonwealth agencies or by public officials that have come to the Commissioner’s attention during that year</w:t>
            </w:r>
          </w:p>
        </w:tc>
        <w:tc>
          <w:tcPr>
            <w:tcW w:w="3497" w:type="dxa"/>
          </w:tcPr>
          <w:p w14:paraId="3035EF39" w14:textId="4B5A9D5A" w:rsidR="005B0A96" w:rsidRPr="005B0A96" w:rsidRDefault="005B0A96" w:rsidP="005B0A96">
            <w:pPr>
              <w:pStyle w:val="NormalWeb"/>
              <w:spacing w:before="120" w:beforeAutospacing="0" w:after="120" w:afterAutospacing="0"/>
            </w:pPr>
            <w:r w:rsidRPr="005B0A96">
              <w:t>NACC Act: s</w:t>
            </w:r>
            <w:r w:rsidR="00AB7525">
              <w:t xml:space="preserve"> </w:t>
            </w:r>
            <w:r w:rsidRPr="005B0A96">
              <w:t>271(2)(c)</w:t>
            </w:r>
          </w:p>
        </w:tc>
      </w:tr>
      <w:tr w:rsidR="005B0A96" w14:paraId="53917034" w14:textId="77777777" w:rsidTr="00FE6491">
        <w:tc>
          <w:tcPr>
            <w:tcW w:w="671" w:type="dxa"/>
          </w:tcPr>
          <w:p w14:paraId="2050D333" w14:textId="0D8A6D9C" w:rsidR="005B0A96" w:rsidRPr="005B0A96" w:rsidRDefault="005B0A96" w:rsidP="005B0A96">
            <w:pPr>
              <w:spacing w:before="120" w:after="120"/>
              <w:rPr>
                <w:rFonts w:asciiTheme="minorHAnsi" w:hAnsiTheme="minorHAnsi"/>
              </w:rPr>
            </w:pPr>
            <w:r w:rsidRPr="005B0A96">
              <w:rPr>
                <w:rFonts w:asciiTheme="minorHAnsi" w:hAnsiTheme="minorHAnsi"/>
              </w:rPr>
              <w:t>26</w:t>
            </w:r>
          </w:p>
        </w:tc>
        <w:tc>
          <w:tcPr>
            <w:tcW w:w="4858" w:type="dxa"/>
          </w:tcPr>
          <w:p w14:paraId="57C2FEA1" w14:textId="129BB0AC" w:rsidR="005B0A96" w:rsidRPr="005B0A96" w:rsidRDefault="005B0A96" w:rsidP="005B0A96">
            <w:pPr>
              <w:spacing w:before="120" w:after="120"/>
              <w:rPr>
                <w:rFonts w:asciiTheme="minorHAnsi" w:hAnsiTheme="minorHAnsi"/>
              </w:rPr>
            </w:pPr>
            <w:r w:rsidRPr="005B0A96">
              <w:rPr>
                <w:rFonts w:asciiTheme="minorHAnsi" w:hAnsiTheme="minorHAnsi"/>
              </w:rPr>
              <w:t xml:space="preserve">Any recommendations for changes to the laws of the Commonwealth or administrative practices of Commonwealth agencies that the Commissioner, </w:t>
            </w:r>
            <w:proofErr w:type="gramStart"/>
            <w:r w:rsidRPr="005B0A96">
              <w:rPr>
                <w:rFonts w:asciiTheme="minorHAnsi" w:hAnsiTheme="minorHAnsi"/>
              </w:rPr>
              <w:t>as a result of</w:t>
            </w:r>
            <w:proofErr w:type="gramEnd"/>
            <w:r w:rsidRPr="005B0A96">
              <w:rPr>
                <w:rFonts w:asciiTheme="minorHAnsi" w:hAnsiTheme="minorHAnsi"/>
              </w:rPr>
              <w:t xml:space="preserve"> performing the Commissioner’s functions during that year, considers should be made</w:t>
            </w:r>
          </w:p>
        </w:tc>
        <w:tc>
          <w:tcPr>
            <w:tcW w:w="3497" w:type="dxa"/>
          </w:tcPr>
          <w:p w14:paraId="6EAF3BAE" w14:textId="0E42EAEE" w:rsidR="005B0A96" w:rsidRPr="005B0A96" w:rsidRDefault="005B0A96" w:rsidP="005B0A96">
            <w:pPr>
              <w:pStyle w:val="NormalWeb"/>
              <w:spacing w:before="120" w:beforeAutospacing="0" w:after="120" w:afterAutospacing="0"/>
            </w:pPr>
            <w:r w:rsidRPr="005B0A96">
              <w:t>NACC Act: s</w:t>
            </w:r>
            <w:r w:rsidR="00AB7525">
              <w:t xml:space="preserve"> </w:t>
            </w:r>
            <w:r w:rsidRPr="005B0A96">
              <w:t>271(2)(d)</w:t>
            </w:r>
          </w:p>
        </w:tc>
      </w:tr>
    </w:tbl>
    <w:p w14:paraId="5541B7BD" w14:textId="77777777" w:rsidR="003A7D14" w:rsidRDefault="003A7D14">
      <w:pPr>
        <w:spacing w:before="0" w:after="0" w:line="240" w:lineRule="auto"/>
      </w:pPr>
      <w:r>
        <w:br w:type="page"/>
      </w:r>
    </w:p>
    <w:p w14:paraId="06D555EA" w14:textId="5F3E1BE1" w:rsidR="006C30BB" w:rsidRDefault="00FE6491" w:rsidP="006C30BB">
      <w:r>
        <w:rPr>
          <w:noProof/>
        </w:rPr>
        <w:lastRenderedPageBreak/>
        <mc:AlternateContent>
          <mc:Choice Requires="wps">
            <w:drawing>
              <wp:anchor distT="0" distB="0" distL="114300" distR="114300" simplePos="0" relativeHeight="251660288" behindDoc="1" locked="0" layoutInCell="1" allowOverlap="1" wp14:anchorId="6CC07B53" wp14:editId="1E8F7D45">
                <wp:simplePos x="0" y="0"/>
                <wp:positionH relativeFrom="column">
                  <wp:posOffset>-914400</wp:posOffset>
                </wp:positionH>
                <wp:positionV relativeFrom="page">
                  <wp:posOffset>402</wp:posOffset>
                </wp:positionV>
                <wp:extent cx="7550150" cy="10688320"/>
                <wp:effectExtent l="0" t="0" r="0" b="0"/>
                <wp:wrapNone/>
                <wp:docPr id="139383192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0150" cy="1068832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053DB" id="Rectangle 1" o:spid="_x0000_s1026" alt="&quot;&quot;" style="position:absolute;margin-left:-1in;margin-top:.05pt;width:594.5pt;height:841.6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" fillcolor="#2f3a48 [3215]" stroked="f" strokeweight="1pt">
                <w10:wrap anchory="page"/>
              </v:rect>
            </w:pict>
          </mc:Fallback>
        </mc:AlternateContent>
      </w:r>
    </w:p>
    <w:p w14:paraId="48BDCEED" w14:textId="0A9EBD6B" w:rsidR="006C30BB" w:rsidRPr="007127FB" w:rsidRDefault="006C30BB" w:rsidP="006C30BB">
      <w:pPr>
        <w:spacing w:before="2520" w:after="1320"/>
        <w:jc w:val="center"/>
      </w:pPr>
      <w:r>
        <w:rPr>
          <w:noProof/>
        </w:rPr>
        <w:drawing>
          <wp:inline distT="0" distB="0" distL="0" distR="0" wp14:anchorId="5468B536" wp14:editId="3155D843">
            <wp:extent cx="3642180" cy="684000"/>
            <wp:effectExtent l="0" t="0" r="0" b="1905"/>
            <wp:docPr id="1839622443" name="Picture 1839622443"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tional Anti-Corruption Commiss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180" cy="684000"/>
                    </a:xfrm>
                    <a:prstGeom prst="rect">
                      <a:avLst/>
                    </a:prstGeom>
                  </pic:spPr>
                </pic:pic>
              </a:graphicData>
            </a:graphic>
          </wp:inline>
        </w:drawing>
      </w:r>
    </w:p>
    <w:p w14:paraId="5FE3FD1B" w14:textId="0E372737" w:rsidR="0034081D" w:rsidRPr="00234D36" w:rsidRDefault="006C30BB" w:rsidP="006C30BB">
      <w:pPr>
        <w:spacing w:before="8640"/>
        <w:jc w:val="center"/>
        <w:rPr>
          <w:rFonts w:ascii="Work Sans Light" w:hAnsi="Work Sans Light"/>
          <w:b/>
          <w:bCs/>
          <w:color w:val="FFFFFF" w:themeColor="accent5"/>
          <w:sz w:val="28"/>
          <w:szCs w:val="28"/>
        </w:rPr>
      </w:pPr>
      <w:r w:rsidRPr="00234D36">
        <w:rPr>
          <w:rFonts w:ascii="Work Sans SemiBold" w:hAnsi="Work Sans SemiBold"/>
          <w:color w:val="FFFFFF" w:themeColor="accent5"/>
          <w:sz w:val="28"/>
          <w:szCs w:val="28"/>
        </w:rPr>
        <w:t>nacc</w:t>
      </w:r>
      <w:r w:rsidRPr="00234D36">
        <w:rPr>
          <w:rFonts w:ascii="Work Sans Light" w:hAnsi="Work Sans Light"/>
          <w:color w:val="FFFFFF" w:themeColor="accent5"/>
          <w:sz w:val="28"/>
          <w:szCs w:val="28"/>
        </w:rPr>
        <w:t>.gov.au</w:t>
      </w:r>
    </w:p>
    <w:sectPr w:rsidR="0034081D" w:rsidRPr="00234D36" w:rsidSect="008C37D2">
      <w:endnotePr>
        <w:numFmt w:val="decimal"/>
      </w:endnotePr>
      <w:pgSz w:w="11906" w:h="16838" w:code="9"/>
      <w:pgMar w:top="1440" w:right="1440" w:bottom="1276"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F57BC" w14:textId="77777777" w:rsidR="00F85C11" w:rsidRDefault="00F85C11" w:rsidP="00AF1C73">
      <w:r>
        <w:separator/>
      </w:r>
    </w:p>
    <w:p w14:paraId="31F58411" w14:textId="77777777" w:rsidR="00F85C11" w:rsidRDefault="00F85C11"/>
    <w:p w14:paraId="32D83F91" w14:textId="77777777" w:rsidR="00F85C11" w:rsidRDefault="00F85C11"/>
  </w:endnote>
  <w:endnote w:type="continuationSeparator" w:id="0">
    <w:p w14:paraId="2A0C2A9D" w14:textId="77777777" w:rsidR="00F85C11" w:rsidRDefault="00F85C11" w:rsidP="00AF1C73">
      <w:r>
        <w:continuationSeparator/>
      </w:r>
    </w:p>
    <w:p w14:paraId="2FCB861A" w14:textId="77777777" w:rsidR="00F85C11" w:rsidRDefault="00F85C11"/>
    <w:p w14:paraId="2DE46EB6" w14:textId="77777777" w:rsidR="00F85C11" w:rsidRDefault="00F85C11"/>
  </w:endnote>
  <w:endnote w:type="continuationNotice" w:id="1">
    <w:p w14:paraId="288E1C1D" w14:textId="77777777" w:rsidR="00F85C11" w:rsidRDefault="00F85C11">
      <w:pPr>
        <w:spacing w:before="0" w:after="0" w:line="240" w:lineRule="auto"/>
      </w:pPr>
    </w:p>
    <w:p w14:paraId="6ED959E0" w14:textId="77777777" w:rsidR="00F85C11" w:rsidRDefault="00F85C11"/>
    <w:p w14:paraId="2359E24F" w14:textId="77777777" w:rsidR="00F85C11" w:rsidRDefault="00F85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paign Medium">
    <w:altName w:val="Calibri"/>
    <w:panose1 w:val="00000000000000000000"/>
    <w:charset w:val="4D"/>
    <w:family w:val="auto"/>
    <w:notTrueType/>
    <w:pitch w:val="variable"/>
    <w:sig w:usb0="800000AF" w:usb1="5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ork Sans">
    <w:panose1 w:val="00000000000000000000"/>
    <w:charset w:val="00"/>
    <w:family w:val="auto"/>
    <w:pitch w:val="variable"/>
    <w:sig w:usb0="A00000FF" w:usb1="5000E07B" w:usb2="00000000" w:usb3="00000000" w:csb0="00000193" w:csb1="00000000"/>
    <w:embedRegular r:id="rId1" w:fontKey="{2AF0D4CD-B67E-4E2E-8329-FAB4E8F73016}"/>
    <w:embedBold r:id="rId2" w:fontKey="{63A111C7-F2F0-460D-ABCF-D400DAF0D220}"/>
    <w:embedItalic r:id="rId3" w:fontKey="{2BF0922B-246B-4E70-B7DF-37947537F16A}"/>
  </w:font>
  <w:font w:name="Work Sans Medium">
    <w:panose1 w:val="00000000000000000000"/>
    <w:charset w:val="00"/>
    <w:family w:val="auto"/>
    <w:pitch w:val="variable"/>
    <w:sig w:usb0="A00000FF" w:usb1="5000E07B" w:usb2="00000000" w:usb3="00000000" w:csb0="00000193" w:csb1="00000000"/>
    <w:embedRegular r:id="rId4" w:subsetted="1" w:fontKey="{E92D21DC-535D-4E3C-A99B-AB13916777CD}"/>
  </w:font>
  <w:font w:name="Calibri">
    <w:panose1 w:val="020F0502020204030204"/>
    <w:charset w:val="00"/>
    <w:family w:val="swiss"/>
    <w:pitch w:val="variable"/>
    <w:sig w:usb0="E4002EFF" w:usb1="C200247B" w:usb2="00000009" w:usb3="00000000" w:csb0="000001FF" w:csb1="00000000"/>
  </w:font>
  <w:font w:name="Work Sans SemiBold">
    <w:panose1 w:val="00000000000000000000"/>
    <w:charset w:val="00"/>
    <w:family w:val="auto"/>
    <w:pitch w:val="variable"/>
    <w:sig w:usb0="A00000FF" w:usb1="5000E07B" w:usb2="00000000" w:usb3="00000000" w:csb0="00000193" w:csb1="00000000"/>
    <w:embedRegular r:id="rId5" w:fontKey="{E010428C-43A3-4641-90F7-5BC1CDEE47CF}"/>
    <w:embedBold r:id="rId6" w:fontKey="{2E553D42-8865-415D-9308-551A5B796F31}"/>
  </w:font>
  <w:font w:name="Century Gothic">
    <w:panose1 w:val="020B0502020202020204"/>
    <w:charset w:val="00"/>
    <w:family w:val="swiss"/>
    <w:pitch w:val="variable"/>
    <w:sig w:usb0="00000287" w:usb1="00000000" w:usb2="00000000" w:usb3="00000000" w:csb0="0000009F" w:csb1="00000000"/>
  </w:font>
  <w:font w:name="Campaign Regular">
    <w:altName w:val="Calibri"/>
    <w:panose1 w:val="00000000000000000000"/>
    <w:charset w:val="4D"/>
    <w:family w:val="auto"/>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WorkSans-Light">
    <w:altName w:val="Calibri"/>
    <w:panose1 w:val="00000000000000000000"/>
    <w:charset w:val="00"/>
    <w:family w:val="auto"/>
    <w:notTrueType/>
    <w:pitch w:val="default"/>
    <w:sig w:usb0="00000003" w:usb1="00000000" w:usb2="00000000" w:usb3="00000000" w:csb0="00000001" w:csb1="00000000"/>
  </w:font>
  <w:font w:name="WorkSans-Medium">
    <w:altName w:val="Calibri"/>
    <w:panose1 w:val="00000000000000000000"/>
    <w:charset w:val="00"/>
    <w:family w:val="auto"/>
    <w:notTrueType/>
    <w:pitch w:val="default"/>
    <w:sig w:usb0="00000003" w:usb1="00000000" w:usb2="00000000" w:usb3="00000000" w:csb0="00000001" w:csb1="00000000"/>
  </w:font>
  <w:font w:name="WorkSans-SemiBold">
    <w:altName w:val="Calibri"/>
    <w:panose1 w:val="00000000000000000000"/>
    <w:charset w:val="00"/>
    <w:family w:val="auto"/>
    <w:notTrueType/>
    <w:pitch w:val="default"/>
    <w:sig w:usb0="00000003" w:usb1="00000000" w:usb2="00000000" w:usb3="00000000" w:csb0="00000001" w:csb1="00000000"/>
  </w:font>
  <w:font w:name="WorkSans-Bold">
    <w:altName w:val="Calibri"/>
    <w:panose1 w:val="00000000000000000000"/>
    <w:charset w:val="00"/>
    <w:family w:val="auto"/>
    <w:notTrueType/>
    <w:pitch w:val="default"/>
    <w:sig w:usb0="00000003" w:usb1="00000000" w:usb2="00000000" w:usb3="00000000" w:csb0="00000001" w:csb1="00000000"/>
  </w:font>
  <w:font w:name="WorkSans-Regular">
    <w:altName w:val="Calibri"/>
    <w:panose1 w:val="00000000000000000000"/>
    <w:charset w:val="00"/>
    <w:family w:val="auto"/>
    <w:notTrueType/>
    <w:pitch w:val="default"/>
    <w:sig w:usb0="00000003" w:usb1="00000000" w:usb2="00000000" w:usb3="00000000" w:csb0="00000001" w:csb1="00000000"/>
  </w:font>
  <w:font w:name="Work Sans Light">
    <w:panose1 w:val="00000000000000000000"/>
    <w:charset w:val="00"/>
    <w:family w:val="auto"/>
    <w:pitch w:val="variable"/>
    <w:sig w:usb0="A00000FF" w:usb1="5000E07B" w:usb2="00000000" w:usb3="00000000" w:csb0="00000193" w:csb1="00000000"/>
    <w:embedRegular r:id="rId7" w:subsetted="1" w:fontKey="{AC14415A-DD28-438D-883F-B785AC8B070E}"/>
  </w:font>
  <w:font w:name="Aptos">
    <w:panose1 w:val="020B0004020202020204"/>
    <w:charset w:val="00"/>
    <w:family w:val="swiss"/>
    <w:pitch w:val="variable"/>
    <w:sig w:usb0="20000287" w:usb1="00000003" w:usb2="00000000" w:usb3="00000000" w:csb0="0000019F" w:csb1="00000000"/>
    <w:embedRegular r:id="rId8" w:subsetted="1" w:fontKey="{3579B15B-975A-4E85-A6C3-BD44C62912FD}"/>
  </w:font>
  <w:font w:name="Cambria Math">
    <w:panose1 w:val="02040503050406030204"/>
    <w:charset w:val="00"/>
    <w:family w:val="roman"/>
    <w:pitch w:val="variable"/>
    <w:sig w:usb0="E00006FF" w:usb1="420024FF" w:usb2="02000000" w:usb3="00000000" w:csb0="0000019F" w:csb1="00000000"/>
    <w:embedRegular r:id="rId9" w:fontKey="{35932950-5FDA-4F58-9685-D1A8150937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0FAD4" w14:textId="73371C2A" w:rsidR="001C070F" w:rsidRDefault="0009089D" w:rsidP="00AF1C73">
    <w:pPr>
      <w:pStyle w:val="Footer"/>
      <w:rPr>
        <w:rStyle w:val="PageNumber"/>
      </w:rPr>
    </w:pPr>
    <w:r>
      <w:rPr>
        <w:noProof/>
      </w:rPr>
      <mc:AlternateContent>
        <mc:Choice Requires="wps">
          <w:drawing>
            <wp:anchor distT="0" distB="0" distL="0" distR="0" simplePos="0" relativeHeight="251686912" behindDoc="0" locked="0" layoutInCell="1" allowOverlap="1" wp14:anchorId="24407630" wp14:editId="369D8C54">
              <wp:simplePos x="635" y="635"/>
              <wp:positionH relativeFrom="page">
                <wp:align>center</wp:align>
              </wp:positionH>
              <wp:positionV relativeFrom="page">
                <wp:align>bottom</wp:align>
              </wp:positionV>
              <wp:extent cx="622300" cy="621665"/>
              <wp:effectExtent l="0" t="0" r="6350" b="0"/>
              <wp:wrapNone/>
              <wp:docPr id="24694278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01072E20" w14:textId="0B81413E"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407630" id="_x0000_t202" coordsize="21600,21600" o:spt="202" path="m,l,21600r21600,l21600,xe">
              <v:stroke joinstyle="miter"/>
              <v:path gradientshapeok="t" o:connecttype="rect"/>
            </v:shapetype>
            <v:shape id="Text Box 11" o:spid="_x0000_s1028" type="#_x0000_t202" alt="OFFICIAL " style="position:absolute;margin-left:0;margin-top:0;width:49pt;height:48.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" filled="f" stroked="f">
              <v:textbox style="mso-fit-shape-to-text:t" inset="0,0,0,15pt">
                <w:txbxContent>
                  <w:p w14:paraId="01072E20" w14:textId="0B81413E"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 xml:space="preserve">OFFICIAL </w:t>
                    </w:r>
                  </w:p>
                </w:txbxContent>
              </v:textbox>
              <w10:wrap anchorx="page" anchory="page"/>
            </v:shape>
          </w:pict>
        </mc:Fallback>
      </mc:AlternateContent>
    </w:r>
  </w:p>
  <w:sdt>
    <w:sdtPr>
      <w:rPr>
        <w:rStyle w:val="PageNumber"/>
      </w:rPr>
      <w:id w:val="-760683071"/>
      <w:docPartObj>
        <w:docPartGallery w:val="Page Numbers (Bottom of Page)"/>
        <w:docPartUnique/>
      </w:docPartObj>
    </w:sdtPr>
    <w:sdtContent>
      <w:p w14:paraId="0B5397AC" w14:textId="77777777" w:rsidR="001C070F" w:rsidRDefault="001C070F" w:rsidP="00AF1C7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EE503E" w14:textId="77777777" w:rsidR="001C070F" w:rsidRDefault="001C070F" w:rsidP="00AF1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326D" w14:textId="5DBF8AFB" w:rsidR="00F249C5" w:rsidRPr="00D861BF" w:rsidRDefault="0009089D" w:rsidP="00F249C5">
    <w:pPr>
      <w:pBdr>
        <w:top w:val="single" w:sz="4" w:space="1" w:color="D9D9D9"/>
      </w:pBdr>
      <w:tabs>
        <w:tab w:val="center" w:pos="4513"/>
        <w:tab w:val="right" w:pos="9026"/>
      </w:tabs>
      <w:spacing w:before="120" w:after="120" w:line="300" w:lineRule="exact"/>
      <w:rPr>
        <w:rFonts w:eastAsia="Calibri" w:cs="Times New Roman"/>
        <w:b/>
        <w:bCs/>
        <w:kern w:val="2"/>
        <w:sz w:val="16"/>
        <w:szCs w:val="16"/>
        <w:lang w:val="en-GB"/>
        <w14:ligatures w14:val="standardContextual"/>
      </w:rPr>
    </w:pPr>
    <w:r>
      <w:rPr>
        <w:rFonts w:eastAsia="Calibri" w:cs="Times New Roman"/>
        <w:b/>
        <w:bCs/>
        <w:noProof/>
        <w:kern w:val="2"/>
        <w:sz w:val="16"/>
        <w:szCs w:val="16"/>
        <w:lang w:val="en-GB"/>
      </w:rPr>
      <mc:AlternateContent>
        <mc:Choice Requires="wps">
          <w:drawing>
            <wp:anchor distT="0" distB="0" distL="0" distR="0" simplePos="0" relativeHeight="251687936" behindDoc="0" locked="0" layoutInCell="1" allowOverlap="1" wp14:anchorId="1843B785" wp14:editId="5A3291F8">
              <wp:simplePos x="914400" y="9969500"/>
              <wp:positionH relativeFrom="page">
                <wp:align>center</wp:align>
              </wp:positionH>
              <wp:positionV relativeFrom="page">
                <wp:align>bottom</wp:align>
              </wp:positionV>
              <wp:extent cx="622300" cy="621665"/>
              <wp:effectExtent l="0" t="0" r="6350" b="0"/>
              <wp:wrapNone/>
              <wp:docPr id="1687667949"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664D7A15" w14:textId="45516B3E"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43B785" id="_x0000_t202" coordsize="21600,21600" o:spt="202" path="m,l,21600r21600,l21600,xe">
              <v:stroke joinstyle="miter"/>
              <v:path gradientshapeok="t" o:connecttype="rect"/>
            </v:shapetype>
            <v:shape id="Text Box 12" o:spid="_x0000_s1029" type="#_x0000_t202" alt="OFFICIAL " style="position:absolute;margin-left:0;margin-top:0;width:49pt;height:48.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" filled="f" stroked="f">
              <v:textbox style="mso-fit-shape-to-text:t" inset="0,0,0,15pt">
                <w:txbxContent>
                  <w:p w14:paraId="664D7A15" w14:textId="45516B3E"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 xml:space="preserve">OFFICIAL </w:t>
                    </w:r>
                  </w:p>
                </w:txbxContent>
              </v:textbox>
              <w10:wrap anchorx="page" anchory="page"/>
            </v:shape>
          </w:pict>
        </mc:Fallback>
      </mc:AlternateContent>
    </w:r>
    <w:r w:rsidR="00F249C5">
      <w:rPr>
        <w:rFonts w:eastAsia="Calibri" w:cs="Times New Roman"/>
        <w:b/>
        <w:bCs/>
        <w:kern w:val="2"/>
        <w:sz w:val="16"/>
        <w:szCs w:val="16"/>
        <w:lang w:val="en-GB"/>
        <w14:ligatures w14:val="standardContextual"/>
      </w:rPr>
      <w:t xml:space="preserve">Corporate Plan </w:t>
    </w:r>
    <w:r w:rsidR="00F249C5">
      <w:rPr>
        <w:rFonts w:eastAsia="Calibri" w:cs="Times New Roman"/>
        <w:kern w:val="2"/>
        <w:sz w:val="16"/>
        <w:szCs w:val="16"/>
        <w:lang w:val="en-GB"/>
        <w14:ligatures w14:val="standardContextual"/>
      </w:rPr>
      <w:t>2025</w:t>
    </w:r>
    <w:r w:rsidR="00F249C5" w:rsidRPr="00F249C5">
      <w:rPr>
        <w:rFonts w:eastAsia="Calibri" w:cs="Times New Roman"/>
        <w:kern w:val="2"/>
        <w:sz w:val="16"/>
        <w:szCs w:val="16"/>
        <w:lang w:val="en-GB"/>
        <w14:ligatures w14:val="standardContextual"/>
      </w:rPr>
      <w:t>–</w:t>
    </w:r>
    <w:r w:rsidR="00F249C5">
      <w:rPr>
        <w:rFonts w:eastAsia="Calibri" w:cs="Times New Roman"/>
        <w:kern w:val="2"/>
        <w:sz w:val="16"/>
        <w:szCs w:val="16"/>
        <w:lang w:val="en-GB"/>
        <w14:ligatures w14:val="standardContextual"/>
      </w:rPr>
      <w:t>29</w:t>
    </w:r>
    <w:r w:rsidR="00F249C5" w:rsidRPr="00082298">
      <w:rPr>
        <w:rFonts w:eastAsia="Calibri" w:cs="Times New Roman"/>
        <w:b/>
        <w:bCs/>
        <w:kern w:val="2"/>
        <w:sz w:val="16"/>
        <w:szCs w:val="16"/>
        <w:lang w:val="en-GB"/>
        <w14:ligatures w14:val="standardContextual"/>
      </w:rPr>
      <w:tab/>
    </w:r>
    <w:r w:rsidR="00F249C5" w:rsidRPr="00082298">
      <w:rPr>
        <w:rFonts w:eastAsia="Calibri" w:cs="Times New Roman"/>
        <w:b/>
        <w:bCs/>
        <w:kern w:val="2"/>
        <w:sz w:val="16"/>
        <w:szCs w:val="16"/>
        <w:lang w:val="en-GB"/>
        <w14:ligatures w14:val="standardContextual"/>
      </w:rPr>
      <w:tab/>
    </w:r>
    <w:sdt>
      <w:sdtPr>
        <w:rPr>
          <w:rFonts w:eastAsia="Calibri" w:cs="Times New Roman"/>
          <w:b/>
          <w:bCs/>
          <w:kern w:val="2"/>
          <w:sz w:val="16"/>
          <w:szCs w:val="16"/>
          <w:lang w:val="en-GB"/>
          <w14:ligatures w14:val="standardContextual"/>
        </w:rPr>
        <w:id w:val="96525904"/>
        <w:docPartObj>
          <w:docPartGallery w:val="Page Numbers (Bottom of Page)"/>
          <w:docPartUnique/>
        </w:docPartObj>
      </w:sdtPr>
      <w:sdtEndPr>
        <w:rPr>
          <w:color w:val="7F7F7F"/>
          <w:spacing w:val="60"/>
        </w:rPr>
      </w:sdtEndPr>
      <w:sdtContent>
        <w:r w:rsidR="00F249C5" w:rsidRPr="00082298">
          <w:rPr>
            <w:rFonts w:eastAsia="Calibri" w:cs="Times New Roman"/>
            <w:b/>
            <w:bCs/>
            <w:color w:val="2274B5"/>
            <w:kern w:val="2"/>
            <w:sz w:val="16"/>
            <w:szCs w:val="16"/>
            <w:lang w:val="en-GB"/>
            <w14:ligatures w14:val="standardContextual"/>
          </w:rPr>
          <w:fldChar w:fldCharType="begin"/>
        </w:r>
        <w:r w:rsidR="00F249C5" w:rsidRPr="00082298">
          <w:rPr>
            <w:rFonts w:eastAsia="Calibri" w:cs="Times New Roman"/>
            <w:b/>
            <w:bCs/>
            <w:color w:val="2274B5"/>
            <w:kern w:val="2"/>
            <w:sz w:val="16"/>
            <w:szCs w:val="16"/>
            <w:lang w:val="en-GB"/>
            <w14:ligatures w14:val="standardContextual"/>
          </w:rPr>
          <w:instrText xml:space="preserve"> PAGE   \* MERGEFORMAT </w:instrText>
        </w:r>
        <w:r w:rsidR="00F249C5" w:rsidRPr="00082298">
          <w:rPr>
            <w:rFonts w:eastAsia="Calibri" w:cs="Times New Roman"/>
            <w:b/>
            <w:bCs/>
            <w:color w:val="2274B5"/>
            <w:kern w:val="2"/>
            <w:sz w:val="16"/>
            <w:szCs w:val="16"/>
            <w:lang w:val="en-GB"/>
            <w14:ligatures w14:val="standardContextual"/>
          </w:rPr>
          <w:fldChar w:fldCharType="separate"/>
        </w:r>
        <w:r w:rsidR="00F249C5">
          <w:rPr>
            <w:rFonts w:eastAsia="Calibri" w:cs="Times New Roman"/>
            <w:b/>
            <w:bCs/>
            <w:color w:val="2274B5"/>
            <w:kern w:val="2"/>
            <w:sz w:val="16"/>
            <w:szCs w:val="16"/>
            <w:lang w:val="en-GB"/>
            <w14:ligatures w14:val="standardContextual"/>
          </w:rPr>
          <w:t>2</w:t>
        </w:r>
        <w:r w:rsidR="00F249C5" w:rsidRPr="00082298">
          <w:rPr>
            <w:rFonts w:eastAsia="Calibri" w:cs="Times New Roman"/>
            <w:b/>
            <w:bCs/>
            <w:noProof/>
            <w:color w:val="2274B5"/>
            <w:kern w:val="2"/>
            <w:sz w:val="16"/>
            <w:szCs w:val="16"/>
            <w:lang w:val="en-GB"/>
            <w14:ligatures w14:val="standardContextu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E3D1" w14:textId="43ACA6D5" w:rsidR="00B9518D" w:rsidRPr="00A5742F" w:rsidRDefault="0009089D" w:rsidP="00B9518D">
    <w:pPr>
      <w:pStyle w:val="Footer"/>
      <w:tabs>
        <w:tab w:val="clear" w:pos="4513"/>
      </w:tabs>
      <w:jc w:val="right"/>
    </w:pPr>
    <w:r>
      <w:rPr>
        <w:noProof/>
      </w:rPr>
      <mc:AlternateContent>
        <mc:Choice Requires="wps">
          <w:drawing>
            <wp:anchor distT="0" distB="0" distL="0" distR="0" simplePos="0" relativeHeight="251685888" behindDoc="0" locked="0" layoutInCell="1" allowOverlap="1" wp14:anchorId="51891CCF" wp14:editId="79A33E51">
              <wp:simplePos x="635" y="635"/>
              <wp:positionH relativeFrom="page">
                <wp:align>center</wp:align>
              </wp:positionH>
              <wp:positionV relativeFrom="page">
                <wp:align>bottom</wp:align>
              </wp:positionV>
              <wp:extent cx="622300" cy="621665"/>
              <wp:effectExtent l="0" t="0" r="6350" b="0"/>
              <wp:wrapNone/>
              <wp:docPr id="1640591145"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1FA1EDDA" w14:textId="222E75A6"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91CCF" id="_x0000_t202" coordsize="21600,21600" o:spt="202" path="m,l,21600r21600,l21600,xe">
              <v:stroke joinstyle="miter"/>
              <v:path gradientshapeok="t" o:connecttype="rect"/>
            </v:shapetype>
            <v:shape id="Text Box 10" o:spid="_x0000_s1031" type="#_x0000_t202" alt="OFFICIAL " style="position:absolute;left:0;text-align:left;margin-left:0;margin-top:0;width:49pt;height:48.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" filled="f" stroked="f">
              <v:textbox style="mso-fit-shape-to-text:t" inset="0,0,0,15pt">
                <w:txbxContent>
                  <w:p w14:paraId="1FA1EDDA" w14:textId="222E75A6"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 xml:space="preserve">OFFICIAL </w:t>
                    </w:r>
                  </w:p>
                </w:txbxContent>
              </v:textbox>
              <w10:wrap anchorx="page" anchory="page"/>
            </v:shape>
          </w:pict>
        </mc:Fallback>
      </mc:AlternateContent>
    </w:r>
    <w:r w:rsidR="00B9518D">
      <w:tab/>
    </w:r>
  </w:p>
  <w:p w14:paraId="15F2C622" w14:textId="77777777" w:rsidR="00827AC3" w:rsidRPr="00827AC3" w:rsidRDefault="00827AC3" w:rsidP="00B9518D">
    <w:pPr>
      <w:spacing w:before="0" w:after="0"/>
      <w:rPr>
        <w:b/>
        <w:bCs/>
        <w:color w:val="E1E8F6" w:themeColor="background1"/>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27EA5" w14:textId="77777777" w:rsidR="00F85C11" w:rsidRPr="00353575" w:rsidRDefault="00F85C11" w:rsidP="00353575">
      <w:pPr>
        <w:spacing w:before="0" w:line="240" w:lineRule="auto"/>
        <w:rPr>
          <w:color w:val="1B598C" w:themeColor="text1"/>
        </w:rPr>
      </w:pPr>
      <w:r w:rsidRPr="00353575">
        <w:rPr>
          <w:color w:val="1B598C" w:themeColor="text1"/>
        </w:rPr>
        <w:separator/>
      </w:r>
    </w:p>
  </w:footnote>
  <w:footnote w:type="continuationSeparator" w:id="0">
    <w:p w14:paraId="4455F1B1" w14:textId="77777777" w:rsidR="00F85C11" w:rsidRDefault="00F85C11" w:rsidP="00AF1C73">
      <w:r>
        <w:continuationSeparator/>
      </w:r>
    </w:p>
    <w:p w14:paraId="3025F66F" w14:textId="77777777" w:rsidR="00F85C11" w:rsidRDefault="00F85C11"/>
  </w:footnote>
  <w:footnote w:type="continuationNotice" w:id="1">
    <w:p w14:paraId="2FA69C95" w14:textId="77777777" w:rsidR="00F85C11" w:rsidRDefault="00F85C11">
      <w:pPr>
        <w:spacing w:before="0" w:after="0" w:line="240" w:lineRule="auto"/>
      </w:pPr>
    </w:p>
    <w:p w14:paraId="25D1D673" w14:textId="77777777" w:rsidR="00F85C11" w:rsidRDefault="00F85C11"/>
  </w:footnote>
  <w:footnote w:id="2">
    <w:p w14:paraId="6E67C6B6" w14:textId="14D25431" w:rsidR="00D101F7" w:rsidRPr="00D101F7" w:rsidRDefault="00D101F7" w:rsidP="00353575">
      <w:pPr>
        <w:pStyle w:val="FootnoteText"/>
        <w:rPr>
          <w:color w:val="0070C0"/>
          <w:u w:val="single"/>
        </w:rPr>
      </w:pPr>
      <w:r w:rsidRPr="00353575">
        <w:footnoteRef/>
      </w:r>
      <w:r>
        <w:tab/>
        <w:t xml:space="preserve">The full list of the Inspector’s role and powers is available at </w:t>
      </w:r>
      <w:r>
        <w:rPr>
          <w:rStyle w:val="Hyperlink"/>
        </w:rPr>
        <w:t>naccinspector.gov.au/role-and-powers-inspector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9EFA2" w14:textId="38967E73" w:rsidR="00034C98" w:rsidRDefault="0009089D">
    <w:pPr>
      <w:pStyle w:val="Header"/>
    </w:pPr>
    <w:r>
      <w:rPr>
        <w:noProof/>
      </w:rPr>
      <mc:AlternateContent>
        <mc:Choice Requires="wps">
          <w:drawing>
            <wp:anchor distT="0" distB="0" distL="0" distR="0" simplePos="0" relativeHeight="251683840" behindDoc="0" locked="0" layoutInCell="1" allowOverlap="1" wp14:anchorId="007DD0C2" wp14:editId="26D1E1C5">
              <wp:simplePos x="635" y="635"/>
              <wp:positionH relativeFrom="page">
                <wp:align>center</wp:align>
              </wp:positionH>
              <wp:positionV relativeFrom="page">
                <wp:align>top</wp:align>
              </wp:positionV>
              <wp:extent cx="622300" cy="621665"/>
              <wp:effectExtent l="0" t="0" r="6350" b="6985"/>
              <wp:wrapNone/>
              <wp:docPr id="123194087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1EC9A7C9" w14:textId="393693D3"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7DD0C2" id="_x0000_t202" coordsize="21600,21600" o:spt="202" path="m,l,21600r21600,l21600,xe">
              <v:stroke joinstyle="miter"/>
              <v:path gradientshapeok="t" o:connecttype="rect"/>
            </v:shapetype>
            <v:shape id="Text Box 8" o:spid="_x0000_s1026" type="#_x0000_t202" alt="OFFICIAL" style="position:absolute;margin-left:0;margin-top:0;width:49pt;height:48.9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" filled="f" stroked="f">
              <v:textbox style="mso-fit-shape-to-text:t" inset="0,15pt,0,0">
                <w:txbxContent>
                  <w:p w14:paraId="1EC9A7C9" w14:textId="393693D3"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3EB2" w14:textId="10847354" w:rsidR="001C070F" w:rsidRPr="00E90EA6" w:rsidRDefault="0009089D" w:rsidP="00E90EA6">
    <w:pPr>
      <w:pStyle w:val="Header"/>
    </w:pPr>
    <w:r>
      <w:rPr>
        <w:noProof/>
      </w:rPr>
      <mc:AlternateContent>
        <mc:Choice Requires="wps">
          <w:drawing>
            <wp:anchor distT="0" distB="0" distL="0" distR="0" simplePos="0" relativeHeight="251684864" behindDoc="0" locked="0" layoutInCell="1" allowOverlap="1" wp14:anchorId="44490C6C" wp14:editId="63ECB7B3">
              <wp:simplePos x="914400" y="450850"/>
              <wp:positionH relativeFrom="page">
                <wp:align>center</wp:align>
              </wp:positionH>
              <wp:positionV relativeFrom="page">
                <wp:align>top</wp:align>
              </wp:positionV>
              <wp:extent cx="622300" cy="621665"/>
              <wp:effectExtent l="0" t="0" r="6350" b="6985"/>
              <wp:wrapNone/>
              <wp:docPr id="161285983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41792EF9" w14:textId="610BE431"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490C6C" id="_x0000_t202" coordsize="21600,21600" o:spt="202" path="m,l,21600r21600,l21600,xe">
              <v:stroke joinstyle="miter"/>
              <v:path gradientshapeok="t" o:connecttype="rect"/>
            </v:shapetype>
            <v:shape id="Text Box 9" o:spid="_x0000_s1027" type="#_x0000_t202" alt="OFFICIAL" style="position:absolute;margin-left:0;margin-top:0;width:49pt;height:48.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" filled="f" stroked="f">
              <v:textbox style="mso-fit-shape-to-text:t" inset="0,15pt,0,0">
                <w:txbxContent>
                  <w:p w14:paraId="41792EF9" w14:textId="610BE431"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BA193" w14:textId="3788AB88" w:rsidR="00034C98" w:rsidRDefault="0009089D">
    <w:pPr>
      <w:pStyle w:val="Header"/>
    </w:pPr>
    <w:r>
      <w:rPr>
        <w:noProof/>
      </w:rPr>
      <mc:AlternateContent>
        <mc:Choice Requires="wps">
          <w:drawing>
            <wp:anchor distT="0" distB="0" distL="0" distR="0" simplePos="0" relativeHeight="251682816" behindDoc="0" locked="0" layoutInCell="1" allowOverlap="1" wp14:anchorId="11294F29" wp14:editId="73DC573A">
              <wp:simplePos x="635" y="635"/>
              <wp:positionH relativeFrom="page">
                <wp:align>center</wp:align>
              </wp:positionH>
              <wp:positionV relativeFrom="page">
                <wp:align>top</wp:align>
              </wp:positionV>
              <wp:extent cx="622300" cy="621665"/>
              <wp:effectExtent l="0" t="0" r="6350" b="6985"/>
              <wp:wrapNone/>
              <wp:docPr id="160463785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2638B386" w14:textId="684BD8E5"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294F29" id="_x0000_t202" coordsize="21600,21600" o:spt="202" path="m,l,21600r21600,l21600,xe">
              <v:stroke joinstyle="miter"/>
              <v:path gradientshapeok="t" o:connecttype="rect"/>
            </v:shapetype>
            <v:shape id="Text Box 7" o:spid="_x0000_s1030" type="#_x0000_t202" alt="OFFICIAL" style="position:absolute;margin-left:0;margin-top:0;width:49pt;height:48.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" filled="f" stroked="f">
              <v:textbox style="mso-fit-shape-to-text:t" inset="0,15pt,0,0">
                <w:txbxContent>
                  <w:p w14:paraId="2638B386" w14:textId="684BD8E5" w:rsidR="0009089D" w:rsidRPr="0009089D" w:rsidRDefault="0009089D" w:rsidP="0009089D">
                    <w:pPr>
                      <w:spacing w:after="0"/>
                      <w:rPr>
                        <w:rFonts w:ascii="Aptos" w:eastAsia="Aptos" w:hAnsi="Aptos" w:cs="Aptos"/>
                        <w:noProof/>
                        <w:color w:val="FF0000"/>
                      </w:rPr>
                    </w:pPr>
                    <w:r w:rsidRPr="0009089D">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155BE"/>
    <w:multiLevelType w:val="hybridMultilevel"/>
    <w:tmpl w:val="DB700F9C"/>
    <w:lvl w:ilvl="0" w:tplc="CF8001D0">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0820029"/>
    <w:multiLevelType w:val="multilevel"/>
    <w:tmpl w:val="717C2BE4"/>
    <w:lvl w:ilvl="0">
      <w:start w:val="1"/>
      <w:numFmt w:val="decimal"/>
      <w:pStyle w:val="Heading1Numbered"/>
      <w:lvlText w:val="%1."/>
      <w:lvlJc w:val="left"/>
      <w:pPr>
        <w:ind w:left="567" w:hanging="567"/>
      </w:pPr>
      <w:rPr>
        <w:rFonts w:hint="default"/>
      </w:rPr>
    </w:lvl>
    <w:lvl w:ilvl="1">
      <w:start w:val="1"/>
      <w:numFmt w:val="decimal"/>
      <w:pStyle w:val="Heading2Numbered"/>
      <w:lvlText w:val="%2."/>
      <w:lvlJc w:val="left"/>
      <w:pPr>
        <w:ind w:left="567" w:hanging="567"/>
      </w:pPr>
      <w:rPr>
        <w:rFonts w:hint="default"/>
      </w:rPr>
    </w:lvl>
    <w:lvl w:ilvl="2">
      <w:start w:val="1"/>
      <w:numFmt w:val="decimal"/>
      <w:pStyle w:val="Heading3Numbered"/>
      <w:lvlText w:val="%2.%3"/>
      <w:lvlJc w:val="left"/>
      <w:pPr>
        <w:ind w:left="851" w:hanging="851"/>
      </w:pPr>
      <w:rPr>
        <w:rFonts w:hint="default"/>
      </w:rPr>
    </w:lvl>
    <w:lvl w:ilvl="3">
      <w:start w:val="1"/>
      <w:numFmt w:val="decimal"/>
      <w:lvlText w:val="%4."/>
      <w:lvlJc w:val="left"/>
      <w:pPr>
        <w:ind w:left="0" w:hanging="567"/>
      </w:pPr>
      <w:rPr>
        <w:rFonts w:hint="default"/>
        <w:color w:val="E1E8F6" w:themeColor="background1"/>
      </w:rPr>
    </w:lvl>
    <w:lvl w:ilvl="4">
      <w:start w:val="1"/>
      <w:numFmt w:val="decimal"/>
      <w:lvlText w:val="%5."/>
      <w:lvlJc w:val="left"/>
      <w:pPr>
        <w:ind w:left="0" w:hanging="567"/>
      </w:pPr>
      <w:rPr>
        <w:rFonts w:hint="default"/>
        <w:color w:val="E1E8F6" w:themeColor="background1"/>
      </w:rPr>
    </w:lvl>
    <w:lvl w:ilvl="5">
      <w:start w:val="1"/>
      <w:numFmt w:val="decimal"/>
      <w:lvlText w:val="%6."/>
      <w:lvlJc w:val="left"/>
      <w:pPr>
        <w:ind w:left="0" w:hanging="567"/>
      </w:pPr>
      <w:rPr>
        <w:rFonts w:hint="default"/>
        <w:color w:val="E1E8F6"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B056D5"/>
    <w:multiLevelType w:val="multilevel"/>
    <w:tmpl w:val="0809001D"/>
    <w:styleLink w:val="Style1"/>
    <w:lvl w:ilvl="0">
      <w:start w:val="1"/>
      <w:numFmt w:val="lowerLetter"/>
      <w:lvlText w:val="%1)"/>
      <w:lvlJc w:val="left"/>
      <w:pPr>
        <w:ind w:left="360" w:hanging="360"/>
      </w:pPr>
      <w:rPr>
        <w:rFonts w:ascii="Campaign Medium" w:hAnsi="Campaign Medium"/>
        <w:b w:val="0"/>
        <w:i w:val="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F1618D"/>
    <w:multiLevelType w:val="multilevel"/>
    <w:tmpl w:val="03D44B4A"/>
    <w:styleLink w:val="List1Numbered"/>
    <w:lvl w:ilvl="0">
      <w:start w:val="1"/>
      <w:numFmt w:val="decimal"/>
      <w:pStyle w:val="List1Numbered1"/>
      <w:lvlText w:val="%1."/>
      <w:lvlJc w:val="left"/>
      <w:pPr>
        <w:ind w:left="567" w:hanging="567"/>
      </w:pPr>
      <w:rPr>
        <w:rFonts w:hint="default"/>
        <w:b w:val="0"/>
        <w:i w:val="0"/>
        <w:color w:val="auto"/>
      </w:rPr>
    </w:lvl>
    <w:lvl w:ilvl="1">
      <w:start w:val="1"/>
      <w:numFmt w:val="lowerLetter"/>
      <w:pStyle w:val="List1Numbered2"/>
      <w:lvlText w:val="%2."/>
      <w:lvlJc w:val="left"/>
      <w:pPr>
        <w:ind w:left="1134" w:hanging="567"/>
      </w:pPr>
      <w:rPr>
        <w:rFonts w:hint="default"/>
      </w:rPr>
    </w:lvl>
    <w:lvl w:ilvl="2">
      <w:start w:val="1"/>
      <w:numFmt w:val="lowerRoman"/>
      <w:pStyle w:val="List1Numbered3"/>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1CC862E1"/>
    <w:multiLevelType w:val="multilevel"/>
    <w:tmpl w:val="A528756C"/>
    <w:styleLink w:val="FigureNumbers"/>
    <w:lvl w:ilvl="0">
      <w:start w:val="1"/>
      <w:numFmt w:val="decimal"/>
      <w:lvlText w:val="Figure %1."/>
      <w:lvlJc w:val="left"/>
      <w:pPr>
        <w:ind w:left="1134" w:hanging="1134"/>
      </w:pPr>
      <w:rPr>
        <w:rFonts w:hint="default"/>
        <w:b/>
        <w:i w:val="0"/>
        <w:caps w:val="0"/>
        <w:color w:val="19B1C3"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19B1C3"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CAC0FB2"/>
    <w:multiLevelType w:val="hybridMultilevel"/>
    <w:tmpl w:val="A27612E4"/>
    <w:lvl w:ilvl="0" w:tplc="9BFEF040">
      <w:start w:val="1"/>
      <w:numFmt w:val="bullet"/>
      <w:lvlText w:val=""/>
      <w:lvlJc w:val="left"/>
      <w:pPr>
        <w:ind w:left="720" w:hanging="360"/>
      </w:pPr>
      <w:rPr>
        <w:rFonts w:ascii="Symbol" w:hAnsi="Symbol" w:hint="default"/>
        <w:color w:val="2274B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36214F"/>
    <w:multiLevelType w:val="multilevel"/>
    <w:tmpl w:val="0809001D"/>
    <w:styleLink w:val="ABC"/>
    <w:lvl w:ilvl="0">
      <w:start w:val="1"/>
      <w:numFmt w:val="lowerLetter"/>
      <w:lvlText w:val="%1)"/>
      <w:lvlJc w:val="left"/>
      <w:pPr>
        <w:ind w:left="360" w:hanging="360"/>
      </w:pPr>
      <w:rPr>
        <w:rFonts w:ascii="Campaign Medium" w:hAnsi="Campaign Medium"/>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1207FF8"/>
    <w:multiLevelType w:val="multilevel"/>
    <w:tmpl w:val="A8346FF2"/>
    <w:lvl w:ilvl="0">
      <w:start w:val="1"/>
      <w:numFmt w:val="bullet"/>
      <w:pStyle w:val="Bullet1"/>
      <w:lvlText w:val=""/>
      <w:lvlJc w:val="left"/>
      <w:pPr>
        <w:ind w:left="360" w:hanging="360"/>
      </w:pPr>
      <w:rPr>
        <w:rFonts w:ascii="Symbol" w:hAnsi="Symbol" w:hint="default"/>
        <w:color w:val="2274B5"/>
      </w:rPr>
    </w:lvl>
    <w:lvl w:ilvl="1">
      <w:start w:val="1"/>
      <w:numFmt w:val="bullet"/>
      <w:pStyle w:val="Bullet2"/>
      <w:lvlText w:val="–"/>
      <w:lvlJc w:val="left"/>
      <w:pPr>
        <w:ind w:left="1134" w:hanging="567"/>
      </w:pPr>
      <w:rPr>
        <w:rFonts w:ascii="Arial" w:hAnsi="Arial" w:hint="default"/>
        <w:color w:val="auto"/>
      </w:rPr>
    </w:lvl>
    <w:lvl w:ilvl="2">
      <w:start w:val="1"/>
      <w:numFmt w:val="bullet"/>
      <w:pStyle w:val="Bullet3"/>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60CE07D5"/>
    <w:multiLevelType w:val="multilevel"/>
    <w:tmpl w:val="03D44B4A"/>
    <w:numStyleLink w:val="List1Numbered"/>
  </w:abstractNum>
  <w:abstractNum w:abstractNumId="10" w15:restartNumberingAfterBreak="0">
    <w:nsid w:val="69291F25"/>
    <w:multiLevelType w:val="hybridMultilevel"/>
    <w:tmpl w:val="052A9FEC"/>
    <w:lvl w:ilvl="0" w:tplc="9C96C518">
      <w:start w:val="1"/>
      <w:numFmt w:val="bullet"/>
      <w:pStyle w:val="Bullets"/>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00D6AD1"/>
    <w:multiLevelType w:val="hybridMultilevel"/>
    <w:tmpl w:val="62944508"/>
    <w:lvl w:ilvl="0" w:tplc="9BFEF040">
      <w:start w:val="1"/>
      <w:numFmt w:val="bullet"/>
      <w:lvlText w:val=""/>
      <w:lvlJc w:val="left"/>
      <w:pPr>
        <w:ind w:left="720" w:hanging="360"/>
      </w:pPr>
      <w:rPr>
        <w:rFonts w:ascii="Symbol" w:hAnsi="Symbol" w:hint="default"/>
        <w:color w:val="2274B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8A4D83"/>
    <w:multiLevelType w:val="multilevel"/>
    <w:tmpl w:val="A76C644E"/>
    <w:styleLink w:val="DefaultBullets"/>
    <w:lvl w:ilvl="0">
      <w:start w:val="1"/>
      <w:numFmt w:val="bullet"/>
      <w:lvlText w:val=""/>
      <w:lvlJc w:val="left"/>
      <w:pPr>
        <w:ind w:left="567" w:hanging="567"/>
      </w:pPr>
      <w:rPr>
        <w:rFonts w:ascii="Symbol" w:hAnsi="Symbol" w:hint="default"/>
        <w:color w:val="auto"/>
      </w:rPr>
    </w:lvl>
    <w:lvl w:ilvl="1">
      <w:start w:val="1"/>
      <w:numFmt w:val="bullet"/>
      <w:lvlText w:val="–"/>
      <w:lvlJc w:val="left"/>
      <w:pPr>
        <w:ind w:left="1134" w:hanging="567"/>
      </w:pPr>
      <w:rPr>
        <w:rFonts w:ascii="Arial" w:hAnsi="Arial" w:hint="default"/>
        <w:color w:val="auto"/>
      </w:rPr>
    </w:lvl>
    <w:lvl w:ilvl="2">
      <w:start w:val="1"/>
      <w:numFmt w:val="bullet"/>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7BF42344"/>
    <w:multiLevelType w:val="multilevel"/>
    <w:tmpl w:val="29C82EC4"/>
    <w:styleLink w:val="IndentLists"/>
    <w:lvl w:ilvl="0">
      <w:start w:val="1"/>
      <w:numFmt w:val="bullet"/>
      <w:pStyle w:val="IndentBullet1"/>
      <w:lvlText w:val=""/>
      <w:lvlJc w:val="left"/>
      <w:pPr>
        <w:ind w:left="927" w:hanging="360"/>
      </w:pPr>
      <w:rPr>
        <w:rFonts w:ascii="Symbol" w:hAnsi="Symbol" w:hint="default"/>
        <w:color w:val="2F3A48" w:themeColor="text2"/>
      </w:rPr>
    </w:lvl>
    <w:lvl w:ilvl="1">
      <w:start w:val="1"/>
      <w:numFmt w:val="bullet"/>
      <w:pStyle w:val="IndentBullet2"/>
      <w:lvlText w:val="–"/>
      <w:lvlJc w:val="left"/>
      <w:pPr>
        <w:ind w:left="1247" w:hanging="340"/>
      </w:pPr>
      <w:rPr>
        <w:rFonts w:ascii="Verdana" w:hAnsi="Verdana" w:hint="default"/>
        <w:color w:val="2F3A48" w:themeColor="text2"/>
      </w:rPr>
    </w:lvl>
    <w:lvl w:ilvl="2">
      <w:start w:val="1"/>
      <w:numFmt w:val="lowerLetter"/>
      <w:pStyle w:val="IndentList1Alpha"/>
      <w:lvlText w:val="%3)"/>
      <w:lvlJc w:val="left"/>
      <w:pPr>
        <w:ind w:left="907" w:hanging="340"/>
      </w:pPr>
      <w:rPr>
        <w:rFonts w:hint="default"/>
      </w:rPr>
    </w:lvl>
    <w:lvl w:ilvl="3">
      <w:start w:val="1"/>
      <w:numFmt w:val="lowerRoman"/>
      <w:pStyle w:val="IndentList2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69577570">
    <w:abstractNumId w:val="2"/>
  </w:num>
  <w:num w:numId="2" w16cid:durableId="751391560">
    <w:abstractNumId w:val="7"/>
  </w:num>
  <w:num w:numId="3" w16cid:durableId="1803230332">
    <w:abstractNumId w:val="12"/>
  </w:num>
  <w:num w:numId="4" w16cid:durableId="1598634007">
    <w:abstractNumId w:val="13"/>
    <w:lvlOverride w:ilvl="0">
      <w:lvl w:ilvl="0">
        <w:start w:val="1"/>
        <w:numFmt w:val="bullet"/>
        <w:pStyle w:val="IndentBullet1"/>
        <w:lvlText w:val=""/>
        <w:lvlJc w:val="left"/>
        <w:pPr>
          <w:ind w:left="927" w:hanging="360"/>
        </w:pPr>
        <w:rPr>
          <w:rFonts w:ascii="Symbol" w:hAnsi="Symbol" w:hint="default"/>
          <w:color w:val="1B598C" w:themeColor="text1"/>
        </w:rPr>
      </w:lvl>
    </w:lvlOverride>
  </w:num>
  <w:num w:numId="5" w16cid:durableId="414018646">
    <w:abstractNumId w:val="3"/>
  </w:num>
  <w:num w:numId="6" w16cid:durableId="1688947829">
    <w:abstractNumId w:val="9"/>
    <w:lvlOverride w:ilvl="0">
      <w:lvl w:ilvl="0">
        <w:start w:val="1"/>
        <w:numFmt w:val="decimal"/>
        <w:pStyle w:val="List1Numbered1"/>
        <w:lvlText w:val="%1."/>
        <w:lvlJc w:val="left"/>
        <w:pPr>
          <w:ind w:left="360" w:hanging="360"/>
        </w:pPr>
        <w:rPr>
          <w:rFonts w:hint="default"/>
          <w:color w:val="1B598C" w:themeColor="text1"/>
        </w:rPr>
      </w:lvl>
    </w:lvlOverride>
    <w:lvlOverride w:ilvl="1">
      <w:lvl w:ilvl="1">
        <w:start w:val="1"/>
        <w:numFmt w:val="lowerLetter"/>
        <w:pStyle w:val="List1Numbered2"/>
        <w:lvlText w:val="%2."/>
        <w:lvlJc w:val="left"/>
        <w:pPr>
          <w:ind w:left="1080" w:hanging="360"/>
        </w:pPr>
      </w:lvl>
    </w:lvlOverride>
    <w:lvlOverride w:ilvl="2">
      <w:lvl w:ilvl="2" w:tentative="1">
        <w:start w:val="1"/>
        <w:numFmt w:val="lowerRoman"/>
        <w:pStyle w:val="List1Numbered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419906449">
    <w:abstractNumId w:val="5"/>
  </w:num>
  <w:num w:numId="8" w16cid:durableId="1165629172">
    <w:abstractNumId w:val="4"/>
  </w:num>
  <w:num w:numId="9" w16cid:durableId="876695187">
    <w:abstractNumId w:val="10"/>
  </w:num>
  <w:num w:numId="10" w16cid:durableId="1898054836">
    <w:abstractNumId w:val="0"/>
  </w:num>
  <w:num w:numId="11" w16cid:durableId="2136562860">
    <w:abstractNumId w:val="1"/>
  </w:num>
  <w:num w:numId="12" w16cid:durableId="1977756572">
    <w:abstractNumId w:val="8"/>
  </w:num>
  <w:num w:numId="13" w16cid:durableId="445202197">
    <w:abstractNumId w:val="13"/>
  </w:num>
  <w:num w:numId="14" w16cid:durableId="1655908602">
    <w:abstractNumId w:val="9"/>
    <w:lvlOverride w:ilvl="0">
      <w:startOverride w:val="1"/>
      <w:lvl w:ilvl="0">
        <w:start w:val="1"/>
        <w:numFmt w:val="decimal"/>
        <w:pStyle w:val="List1Numbered1"/>
        <w:lvlText w:val="%1."/>
        <w:lvlJc w:val="left"/>
        <w:pPr>
          <w:ind w:left="567" w:hanging="567"/>
        </w:pPr>
        <w:rPr>
          <w:rFonts w:hint="default"/>
          <w:b w:val="0"/>
          <w:i w:val="0"/>
          <w:color w:val="1B598C" w:themeColor="text1"/>
        </w:rPr>
      </w:lvl>
    </w:lvlOverride>
    <w:lvlOverride w:ilvl="1">
      <w:startOverride w:val="1"/>
      <w:lvl w:ilvl="1">
        <w:start w:val="1"/>
        <w:numFmt w:val="lowerLetter"/>
        <w:pStyle w:val="List1Numbered2"/>
        <w:lvlText w:val="%2."/>
        <w:lvlJc w:val="left"/>
        <w:pPr>
          <w:ind w:left="1134" w:hanging="567"/>
        </w:pPr>
        <w:rPr>
          <w:rFonts w:hint="default"/>
        </w:rPr>
      </w:lvl>
    </w:lvlOverride>
    <w:lvlOverride w:ilvl="2">
      <w:startOverride w:val="1"/>
      <w:lvl w:ilvl="2">
        <w:start w:val="1"/>
        <w:numFmt w:val="lowerRoman"/>
        <w:pStyle w:val="List1Numbered3"/>
        <w:lvlText w:val="%3."/>
        <w:lvlJc w:val="left"/>
        <w:pPr>
          <w:ind w:left="1701" w:hanging="567"/>
        </w:pPr>
        <w:rPr>
          <w:rFonts w:hint="default"/>
        </w:rPr>
      </w:lvl>
    </w:lvlOverride>
    <w:lvlOverride w:ilvl="3">
      <w:startOverride w:val="1"/>
      <w:lvl w:ilvl="3">
        <w:start w:val="1"/>
        <w:numFmt w:val="decimal"/>
        <w:lvlText w:val="(%4)"/>
        <w:lvlJc w:val="left"/>
        <w:pPr>
          <w:ind w:left="2268" w:hanging="567"/>
        </w:pPr>
        <w:rPr>
          <w:rFonts w:hint="default"/>
        </w:rPr>
      </w:lvl>
    </w:lvlOverride>
    <w:lvlOverride w:ilvl="4">
      <w:startOverride w:val="1"/>
      <w:lvl w:ilvl="4">
        <w:start w:val="1"/>
        <w:numFmt w:val="lowerLetter"/>
        <w:lvlText w:val="(%5)"/>
        <w:lvlJc w:val="left"/>
        <w:pPr>
          <w:ind w:left="2835" w:hanging="567"/>
        </w:pPr>
        <w:rPr>
          <w:rFonts w:hint="default"/>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5" w16cid:durableId="1913470058">
    <w:abstractNumId w:val="9"/>
    <w:lvlOverride w:ilvl="0">
      <w:startOverride w:val="1"/>
      <w:lvl w:ilvl="0">
        <w:start w:val="1"/>
        <w:numFmt w:val="decimal"/>
        <w:pStyle w:val="List1Numbered1"/>
        <w:lvlText w:val="%1."/>
        <w:lvlJc w:val="left"/>
        <w:pPr>
          <w:ind w:left="567" w:hanging="567"/>
        </w:pPr>
        <w:rPr>
          <w:rFonts w:hint="default"/>
          <w:b w:val="0"/>
          <w:i w:val="0"/>
          <w:color w:val="1B598C" w:themeColor="text1"/>
        </w:rPr>
      </w:lvl>
    </w:lvlOverride>
    <w:lvlOverride w:ilvl="1">
      <w:startOverride w:val="1"/>
      <w:lvl w:ilvl="1">
        <w:start w:val="1"/>
        <w:numFmt w:val="lowerLetter"/>
        <w:pStyle w:val="List1Numbered2"/>
        <w:lvlText w:val="%2."/>
        <w:lvlJc w:val="left"/>
        <w:pPr>
          <w:ind w:left="1134" w:hanging="567"/>
        </w:pPr>
        <w:rPr>
          <w:rFonts w:hint="default"/>
        </w:rPr>
      </w:lvl>
    </w:lvlOverride>
    <w:lvlOverride w:ilvl="2">
      <w:startOverride w:val="1"/>
      <w:lvl w:ilvl="2">
        <w:start w:val="1"/>
        <w:numFmt w:val="lowerRoman"/>
        <w:pStyle w:val="List1Numbered3"/>
        <w:lvlText w:val="%3."/>
        <w:lvlJc w:val="left"/>
        <w:pPr>
          <w:ind w:left="1701" w:hanging="567"/>
        </w:pPr>
        <w:rPr>
          <w:rFonts w:hint="default"/>
        </w:rPr>
      </w:lvl>
    </w:lvlOverride>
    <w:lvlOverride w:ilvl="3">
      <w:startOverride w:val="1"/>
      <w:lvl w:ilvl="3">
        <w:start w:val="1"/>
        <w:numFmt w:val="decimal"/>
        <w:lvlText w:val="(%4)"/>
        <w:lvlJc w:val="left"/>
        <w:pPr>
          <w:ind w:left="2268" w:hanging="567"/>
        </w:pPr>
        <w:rPr>
          <w:rFonts w:hint="default"/>
        </w:rPr>
      </w:lvl>
    </w:lvlOverride>
    <w:lvlOverride w:ilvl="4">
      <w:startOverride w:val="1"/>
      <w:lvl w:ilvl="4">
        <w:start w:val="1"/>
        <w:numFmt w:val="lowerLetter"/>
        <w:lvlText w:val="(%5)"/>
        <w:lvlJc w:val="left"/>
        <w:pPr>
          <w:ind w:left="2835" w:hanging="567"/>
        </w:pPr>
        <w:rPr>
          <w:rFonts w:hint="default"/>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16" w16cid:durableId="1789622586">
    <w:abstractNumId w:val="11"/>
  </w:num>
  <w:num w:numId="17" w16cid:durableId="1166897083">
    <w:abstractNumId w:val="6"/>
  </w:num>
  <w:num w:numId="18" w16cid:durableId="353844819">
    <w:abstractNumId w:val="9"/>
    <w:lvlOverride w:ilvl="0">
      <w:lvl w:ilvl="0">
        <w:start w:val="1"/>
        <w:numFmt w:val="decimal"/>
        <w:pStyle w:val="List1Numbered1"/>
        <w:lvlText w:val="%1."/>
        <w:lvlJc w:val="left"/>
        <w:pPr>
          <w:ind w:left="567" w:hanging="567"/>
        </w:pPr>
        <w:rPr>
          <w:rFonts w:hint="default"/>
          <w:b w:val="0"/>
          <w:i w:val="0"/>
          <w:color w:val="1B598C" w:themeColor="text1"/>
        </w:rPr>
      </w:lvl>
    </w:lvlOverride>
    <w:lvlOverride w:ilvl="1">
      <w:lvl w:ilvl="1">
        <w:start w:val="1"/>
        <w:numFmt w:val="lowerLetter"/>
        <w:pStyle w:val="List1Numbered2"/>
        <w:lvlText w:val="%2."/>
        <w:lvlJc w:val="left"/>
        <w:pPr>
          <w:ind w:left="1134" w:hanging="567"/>
        </w:pPr>
        <w:rPr>
          <w:rFonts w:hint="default"/>
        </w:rPr>
      </w:lvl>
    </w:lvlOverride>
    <w:lvlOverride w:ilvl="2">
      <w:lvl w:ilvl="2">
        <w:start w:val="1"/>
        <w:numFmt w:val="lowerRoman"/>
        <w:pStyle w:val="List1Numbered3"/>
        <w:lvlText w:val="%3."/>
        <w:lvlJc w:val="left"/>
        <w:pPr>
          <w:ind w:left="1701" w:hanging="567"/>
        </w:pPr>
        <w:rPr>
          <w:rFonts w:hint="default"/>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9" w16cid:durableId="1258712528">
    <w:abstractNumId w:val="9"/>
    <w:lvlOverride w:ilvl="0">
      <w:lvl w:ilvl="0">
        <w:start w:val="1"/>
        <w:numFmt w:val="decimal"/>
        <w:pStyle w:val="List1Numbered1"/>
        <w:lvlText w:val="%1."/>
        <w:lvlJc w:val="left"/>
        <w:pPr>
          <w:ind w:left="360" w:hanging="360"/>
        </w:pPr>
        <w:rPr>
          <w:rFonts w:hint="default"/>
          <w:color w:val="1B598C" w:themeColor="text1"/>
        </w:rPr>
      </w:lvl>
    </w:lvlOverride>
    <w:lvlOverride w:ilvl="1">
      <w:lvl w:ilvl="1">
        <w:start w:val="1"/>
        <w:numFmt w:val="lowerLetter"/>
        <w:pStyle w:val="List1Numbered2"/>
        <w:lvlText w:val="%2."/>
        <w:lvlJc w:val="left"/>
        <w:pPr>
          <w:ind w:left="1080" w:hanging="360"/>
        </w:pPr>
      </w:lvl>
    </w:lvlOverride>
    <w:lvlOverride w:ilvl="2">
      <w:lvl w:ilvl="2" w:tentative="1">
        <w:start w:val="1"/>
        <w:numFmt w:val="lowerRoman"/>
        <w:pStyle w:val="List1Numbered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gutterAtTop/>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46"/>
    <w:rsid w:val="00000533"/>
    <w:rsid w:val="00010051"/>
    <w:rsid w:val="00011926"/>
    <w:rsid w:val="000119D5"/>
    <w:rsid w:val="00012D6F"/>
    <w:rsid w:val="00015D89"/>
    <w:rsid w:val="00016CA7"/>
    <w:rsid w:val="00017910"/>
    <w:rsid w:val="0002275A"/>
    <w:rsid w:val="000253DA"/>
    <w:rsid w:val="000279F9"/>
    <w:rsid w:val="0003322F"/>
    <w:rsid w:val="00034C98"/>
    <w:rsid w:val="00035204"/>
    <w:rsid w:val="000358D2"/>
    <w:rsid w:val="0003642F"/>
    <w:rsid w:val="00037217"/>
    <w:rsid w:val="000411AA"/>
    <w:rsid w:val="00046E99"/>
    <w:rsid w:val="00047851"/>
    <w:rsid w:val="000514F8"/>
    <w:rsid w:val="00053219"/>
    <w:rsid w:val="0005347E"/>
    <w:rsid w:val="00053F9B"/>
    <w:rsid w:val="00055F47"/>
    <w:rsid w:val="00056609"/>
    <w:rsid w:val="0006174C"/>
    <w:rsid w:val="00066D47"/>
    <w:rsid w:val="00070124"/>
    <w:rsid w:val="00070B9E"/>
    <w:rsid w:val="00070BDE"/>
    <w:rsid w:val="0007170A"/>
    <w:rsid w:val="00071EB2"/>
    <w:rsid w:val="0007373D"/>
    <w:rsid w:val="0007421B"/>
    <w:rsid w:val="00074925"/>
    <w:rsid w:val="00076C88"/>
    <w:rsid w:val="000901BF"/>
    <w:rsid w:val="0009089D"/>
    <w:rsid w:val="000A1129"/>
    <w:rsid w:val="000B0A1F"/>
    <w:rsid w:val="000B2540"/>
    <w:rsid w:val="000B3D26"/>
    <w:rsid w:val="000B6EB6"/>
    <w:rsid w:val="000C1334"/>
    <w:rsid w:val="000C218A"/>
    <w:rsid w:val="000C44F2"/>
    <w:rsid w:val="000C506C"/>
    <w:rsid w:val="000C7247"/>
    <w:rsid w:val="000D0E38"/>
    <w:rsid w:val="000D12F5"/>
    <w:rsid w:val="000D41F3"/>
    <w:rsid w:val="000D6050"/>
    <w:rsid w:val="000E04CC"/>
    <w:rsid w:val="000E1B2D"/>
    <w:rsid w:val="000E240C"/>
    <w:rsid w:val="000E32C2"/>
    <w:rsid w:val="000E44FB"/>
    <w:rsid w:val="000E6767"/>
    <w:rsid w:val="000F144C"/>
    <w:rsid w:val="000F1E88"/>
    <w:rsid w:val="000F2019"/>
    <w:rsid w:val="000F2FA3"/>
    <w:rsid w:val="000F36D0"/>
    <w:rsid w:val="000F3B0F"/>
    <w:rsid w:val="000F3C42"/>
    <w:rsid w:val="000F7D11"/>
    <w:rsid w:val="001016B7"/>
    <w:rsid w:val="00102D31"/>
    <w:rsid w:val="00106FC8"/>
    <w:rsid w:val="0010732B"/>
    <w:rsid w:val="00111C52"/>
    <w:rsid w:val="001129B5"/>
    <w:rsid w:val="00116313"/>
    <w:rsid w:val="001166AC"/>
    <w:rsid w:val="001200D3"/>
    <w:rsid w:val="00120A36"/>
    <w:rsid w:val="00121405"/>
    <w:rsid w:val="00122655"/>
    <w:rsid w:val="001233FC"/>
    <w:rsid w:val="00123E70"/>
    <w:rsid w:val="001243F5"/>
    <w:rsid w:val="00125AE8"/>
    <w:rsid w:val="00126A55"/>
    <w:rsid w:val="0012716B"/>
    <w:rsid w:val="00130185"/>
    <w:rsid w:val="00131881"/>
    <w:rsid w:val="001326ED"/>
    <w:rsid w:val="00132FBC"/>
    <w:rsid w:val="001349D3"/>
    <w:rsid w:val="00137B14"/>
    <w:rsid w:val="00142087"/>
    <w:rsid w:val="0014290C"/>
    <w:rsid w:val="0014309F"/>
    <w:rsid w:val="00147964"/>
    <w:rsid w:val="00150134"/>
    <w:rsid w:val="00151278"/>
    <w:rsid w:val="00152AD6"/>
    <w:rsid w:val="00154B80"/>
    <w:rsid w:val="00155335"/>
    <w:rsid w:val="00155378"/>
    <w:rsid w:val="001559DA"/>
    <w:rsid w:val="001560EC"/>
    <w:rsid w:val="00157161"/>
    <w:rsid w:val="001634ED"/>
    <w:rsid w:val="001641F3"/>
    <w:rsid w:val="00166EC3"/>
    <w:rsid w:val="001700C7"/>
    <w:rsid w:val="00171035"/>
    <w:rsid w:val="001710D0"/>
    <w:rsid w:val="00172435"/>
    <w:rsid w:val="00173856"/>
    <w:rsid w:val="001746E8"/>
    <w:rsid w:val="00174C88"/>
    <w:rsid w:val="001754E4"/>
    <w:rsid w:val="001761AE"/>
    <w:rsid w:val="00181153"/>
    <w:rsid w:val="00184B39"/>
    <w:rsid w:val="001879CF"/>
    <w:rsid w:val="00190895"/>
    <w:rsid w:val="00190CAE"/>
    <w:rsid w:val="001924A4"/>
    <w:rsid w:val="00193207"/>
    <w:rsid w:val="00193884"/>
    <w:rsid w:val="00193F16"/>
    <w:rsid w:val="0019413A"/>
    <w:rsid w:val="0019758F"/>
    <w:rsid w:val="001A409E"/>
    <w:rsid w:val="001A4735"/>
    <w:rsid w:val="001A5112"/>
    <w:rsid w:val="001A650D"/>
    <w:rsid w:val="001A67E8"/>
    <w:rsid w:val="001A78AD"/>
    <w:rsid w:val="001B2F48"/>
    <w:rsid w:val="001B45AC"/>
    <w:rsid w:val="001B5F46"/>
    <w:rsid w:val="001C041E"/>
    <w:rsid w:val="001C070F"/>
    <w:rsid w:val="001C1169"/>
    <w:rsid w:val="001C3F43"/>
    <w:rsid w:val="001C477F"/>
    <w:rsid w:val="001C6E60"/>
    <w:rsid w:val="001C6EFC"/>
    <w:rsid w:val="001C7887"/>
    <w:rsid w:val="001D1352"/>
    <w:rsid w:val="001D2BEC"/>
    <w:rsid w:val="001D2DC5"/>
    <w:rsid w:val="001D65F7"/>
    <w:rsid w:val="001D7236"/>
    <w:rsid w:val="001E03FB"/>
    <w:rsid w:val="001E0506"/>
    <w:rsid w:val="001E05B5"/>
    <w:rsid w:val="001E11A5"/>
    <w:rsid w:val="001E12DD"/>
    <w:rsid w:val="001E51AC"/>
    <w:rsid w:val="001E5E80"/>
    <w:rsid w:val="001E62C3"/>
    <w:rsid w:val="001E74A1"/>
    <w:rsid w:val="001F457D"/>
    <w:rsid w:val="001F5DB4"/>
    <w:rsid w:val="001F5F7E"/>
    <w:rsid w:val="001F61E2"/>
    <w:rsid w:val="001F720B"/>
    <w:rsid w:val="001F7592"/>
    <w:rsid w:val="00200F3F"/>
    <w:rsid w:val="00201714"/>
    <w:rsid w:val="002024DB"/>
    <w:rsid w:val="00202C98"/>
    <w:rsid w:val="00204B9C"/>
    <w:rsid w:val="0020527E"/>
    <w:rsid w:val="00206FEB"/>
    <w:rsid w:val="00207231"/>
    <w:rsid w:val="00207B1C"/>
    <w:rsid w:val="00210067"/>
    <w:rsid w:val="00210A35"/>
    <w:rsid w:val="00213DBB"/>
    <w:rsid w:val="00214987"/>
    <w:rsid w:val="002149F1"/>
    <w:rsid w:val="00216F1F"/>
    <w:rsid w:val="00217190"/>
    <w:rsid w:val="0021782A"/>
    <w:rsid w:val="00220572"/>
    <w:rsid w:val="00220875"/>
    <w:rsid w:val="002209C8"/>
    <w:rsid w:val="00220CF2"/>
    <w:rsid w:val="00220DEE"/>
    <w:rsid w:val="00222BC5"/>
    <w:rsid w:val="0022458B"/>
    <w:rsid w:val="00224F85"/>
    <w:rsid w:val="002263B0"/>
    <w:rsid w:val="002267FC"/>
    <w:rsid w:val="00231EC9"/>
    <w:rsid w:val="00233F37"/>
    <w:rsid w:val="0023458A"/>
    <w:rsid w:val="00234D36"/>
    <w:rsid w:val="00235502"/>
    <w:rsid w:val="00236440"/>
    <w:rsid w:val="00240A10"/>
    <w:rsid w:val="00242BAE"/>
    <w:rsid w:val="002433B9"/>
    <w:rsid w:val="00244563"/>
    <w:rsid w:val="002512AB"/>
    <w:rsid w:val="00251359"/>
    <w:rsid w:val="00251606"/>
    <w:rsid w:val="00252CC0"/>
    <w:rsid w:val="002552D0"/>
    <w:rsid w:val="002557E7"/>
    <w:rsid w:val="00257D19"/>
    <w:rsid w:val="002613CD"/>
    <w:rsid w:val="0026222D"/>
    <w:rsid w:val="00263172"/>
    <w:rsid w:val="002660E8"/>
    <w:rsid w:val="00266110"/>
    <w:rsid w:val="0026629E"/>
    <w:rsid w:val="00266942"/>
    <w:rsid w:val="0027004A"/>
    <w:rsid w:val="00272894"/>
    <w:rsid w:val="00276B78"/>
    <w:rsid w:val="00276C8E"/>
    <w:rsid w:val="00280E23"/>
    <w:rsid w:val="00282A40"/>
    <w:rsid w:val="00283915"/>
    <w:rsid w:val="00283E2E"/>
    <w:rsid w:val="00285564"/>
    <w:rsid w:val="00287127"/>
    <w:rsid w:val="002912A6"/>
    <w:rsid w:val="00291915"/>
    <w:rsid w:val="00291A42"/>
    <w:rsid w:val="0029462E"/>
    <w:rsid w:val="002A0476"/>
    <w:rsid w:val="002A18D6"/>
    <w:rsid w:val="002A1B1D"/>
    <w:rsid w:val="002A4A95"/>
    <w:rsid w:val="002A519B"/>
    <w:rsid w:val="002A539A"/>
    <w:rsid w:val="002A7FE4"/>
    <w:rsid w:val="002B2D35"/>
    <w:rsid w:val="002B587F"/>
    <w:rsid w:val="002B5B14"/>
    <w:rsid w:val="002C2A64"/>
    <w:rsid w:val="002C324A"/>
    <w:rsid w:val="002C48B9"/>
    <w:rsid w:val="002C4D1F"/>
    <w:rsid w:val="002C69E8"/>
    <w:rsid w:val="002D0F09"/>
    <w:rsid w:val="002D15DF"/>
    <w:rsid w:val="002D510F"/>
    <w:rsid w:val="002D56D8"/>
    <w:rsid w:val="002E1483"/>
    <w:rsid w:val="002E2A35"/>
    <w:rsid w:val="002E4873"/>
    <w:rsid w:val="002E5686"/>
    <w:rsid w:val="002F6254"/>
    <w:rsid w:val="002F6C12"/>
    <w:rsid w:val="002F758C"/>
    <w:rsid w:val="0030074C"/>
    <w:rsid w:val="00305C75"/>
    <w:rsid w:val="003107F4"/>
    <w:rsid w:val="00310B89"/>
    <w:rsid w:val="00313597"/>
    <w:rsid w:val="00313C4D"/>
    <w:rsid w:val="003140AE"/>
    <w:rsid w:val="00317C60"/>
    <w:rsid w:val="00321651"/>
    <w:rsid w:val="00324FA2"/>
    <w:rsid w:val="003302B3"/>
    <w:rsid w:val="00330793"/>
    <w:rsid w:val="00331EE1"/>
    <w:rsid w:val="00332C1C"/>
    <w:rsid w:val="00332E13"/>
    <w:rsid w:val="00334844"/>
    <w:rsid w:val="00335457"/>
    <w:rsid w:val="00340516"/>
    <w:rsid w:val="0034081D"/>
    <w:rsid w:val="0034092A"/>
    <w:rsid w:val="00341682"/>
    <w:rsid w:val="00344102"/>
    <w:rsid w:val="003442F1"/>
    <w:rsid w:val="00344614"/>
    <w:rsid w:val="0034551C"/>
    <w:rsid w:val="00346B52"/>
    <w:rsid w:val="003525A9"/>
    <w:rsid w:val="00352F83"/>
    <w:rsid w:val="00353575"/>
    <w:rsid w:val="0035375F"/>
    <w:rsid w:val="00353E86"/>
    <w:rsid w:val="00353FA4"/>
    <w:rsid w:val="00361590"/>
    <w:rsid w:val="00363121"/>
    <w:rsid w:val="00363316"/>
    <w:rsid w:val="00363B66"/>
    <w:rsid w:val="00364B15"/>
    <w:rsid w:val="00366C1C"/>
    <w:rsid w:val="00367E0C"/>
    <w:rsid w:val="003702F2"/>
    <w:rsid w:val="00372F91"/>
    <w:rsid w:val="003735B2"/>
    <w:rsid w:val="003776AA"/>
    <w:rsid w:val="003836DA"/>
    <w:rsid w:val="003840DD"/>
    <w:rsid w:val="00385615"/>
    <w:rsid w:val="00385BD0"/>
    <w:rsid w:val="00385CB7"/>
    <w:rsid w:val="00386AB9"/>
    <w:rsid w:val="003920AB"/>
    <w:rsid w:val="0039369D"/>
    <w:rsid w:val="00393B02"/>
    <w:rsid w:val="00394D16"/>
    <w:rsid w:val="00395995"/>
    <w:rsid w:val="003A008A"/>
    <w:rsid w:val="003A1162"/>
    <w:rsid w:val="003A25A9"/>
    <w:rsid w:val="003A2C95"/>
    <w:rsid w:val="003A4D0D"/>
    <w:rsid w:val="003A5708"/>
    <w:rsid w:val="003A7747"/>
    <w:rsid w:val="003A7D14"/>
    <w:rsid w:val="003B0DD3"/>
    <w:rsid w:val="003B4A81"/>
    <w:rsid w:val="003B6225"/>
    <w:rsid w:val="003C0443"/>
    <w:rsid w:val="003C0457"/>
    <w:rsid w:val="003C072E"/>
    <w:rsid w:val="003C2960"/>
    <w:rsid w:val="003C596C"/>
    <w:rsid w:val="003C5C8D"/>
    <w:rsid w:val="003C7CE0"/>
    <w:rsid w:val="003D48FA"/>
    <w:rsid w:val="003D4CD8"/>
    <w:rsid w:val="003D64D8"/>
    <w:rsid w:val="003D6567"/>
    <w:rsid w:val="003E233A"/>
    <w:rsid w:val="003E44E7"/>
    <w:rsid w:val="003E5195"/>
    <w:rsid w:val="003E58A6"/>
    <w:rsid w:val="003E60F6"/>
    <w:rsid w:val="003E7561"/>
    <w:rsid w:val="003E7D4F"/>
    <w:rsid w:val="003F196C"/>
    <w:rsid w:val="003F3FE5"/>
    <w:rsid w:val="003F6CA6"/>
    <w:rsid w:val="003F7E74"/>
    <w:rsid w:val="004002CB"/>
    <w:rsid w:val="00400389"/>
    <w:rsid w:val="0040189F"/>
    <w:rsid w:val="00401AE1"/>
    <w:rsid w:val="00402D26"/>
    <w:rsid w:val="00402DAB"/>
    <w:rsid w:val="00404D5D"/>
    <w:rsid w:val="004062D8"/>
    <w:rsid w:val="004077F4"/>
    <w:rsid w:val="00407D87"/>
    <w:rsid w:val="004106EF"/>
    <w:rsid w:val="00413473"/>
    <w:rsid w:val="00414116"/>
    <w:rsid w:val="004145D3"/>
    <w:rsid w:val="0041506D"/>
    <w:rsid w:val="00416AE0"/>
    <w:rsid w:val="0042066A"/>
    <w:rsid w:val="00420714"/>
    <w:rsid w:val="00420DB8"/>
    <w:rsid w:val="00421770"/>
    <w:rsid w:val="00423601"/>
    <w:rsid w:val="00423EEC"/>
    <w:rsid w:val="004255EA"/>
    <w:rsid w:val="0042600F"/>
    <w:rsid w:val="004276B2"/>
    <w:rsid w:val="004306F7"/>
    <w:rsid w:val="004313A5"/>
    <w:rsid w:val="00431DA7"/>
    <w:rsid w:val="00432A37"/>
    <w:rsid w:val="0043326E"/>
    <w:rsid w:val="00434275"/>
    <w:rsid w:val="00434A7D"/>
    <w:rsid w:val="00440F9F"/>
    <w:rsid w:val="0044355A"/>
    <w:rsid w:val="00443792"/>
    <w:rsid w:val="00443EEC"/>
    <w:rsid w:val="00444E3A"/>
    <w:rsid w:val="0044515C"/>
    <w:rsid w:val="004478D6"/>
    <w:rsid w:val="00450EB4"/>
    <w:rsid w:val="0045172F"/>
    <w:rsid w:val="0045199C"/>
    <w:rsid w:val="004530A0"/>
    <w:rsid w:val="004530F6"/>
    <w:rsid w:val="00455393"/>
    <w:rsid w:val="0045712A"/>
    <w:rsid w:val="00457D20"/>
    <w:rsid w:val="00461A74"/>
    <w:rsid w:val="00464187"/>
    <w:rsid w:val="00466853"/>
    <w:rsid w:val="0046746F"/>
    <w:rsid w:val="00470EB0"/>
    <w:rsid w:val="0047526B"/>
    <w:rsid w:val="004807C9"/>
    <w:rsid w:val="00481412"/>
    <w:rsid w:val="0048325F"/>
    <w:rsid w:val="0048657C"/>
    <w:rsid w:val="00487875"/>
    <w:rsid w:val="00487D73"/>
    <w:rsid w:val="00492605"/>
    <w:rsid w:val="00493DD6"/>
    <w:rsid w:val="00497D6B"/>
    <w:rsid w:val="00497E24"/>
    <w:rsid w:val="004A1F8C"/>
    <w:rsid w:val="004A21FC"/>
    <w:rsid w:val="004A4A70"/>
    <w:rsid w:val="004A4BE3"/>
    <w:rsid w:val="004A4F63"/>
    <w:rsid w:val="004A5128"/>
    <w:rsid w:val="004B241A"/>
    <w:rsid w:val="004B4BE1"/>
    <w:rsid w:val="004B5B02"/>
    <w:rsid w:val="004C0DE8"/>
    <w:rsid w:val="004C0E1D"/>
    <w:rsid w:val="004C1DFB"/>
    <w:rsid w:val="004C69BB"/>
    <w:rsid w:val="004D0F73"/>
    <w:rsid w:val="004D19B1"/>
    <w:rsid w:val="004D279D"/>
    <w:rsid w:val="004D31B5"/>
    <w:rsid w:val="004D3B37"/>
    <w:rsid w:val="004E1310"/>
    <w:rsid w:val="004E4133"/>
    <w:rsid w:val="004E4EDC"/>
    <w:rsid w:val="004E55CA"/>
    <w:rsid w:val="004E66BB"/>
    <w:rsid w:val="004F0005"/>
    <w:rsid w:val="004F0AB8"/>
    <w:rsid w:val="004F0C9A"/>
    <w:rsid w:val="004F170A"/>
    <w:rsid w:val="004F387A"/>
    <w:rsid w:val="004F6789"/>
    <w:rsid w:val="005002FE"/>
    <w:rsid w:val="00500B94"/>
    <w:rsid w:val="00501569"/>
    <w:rsid w:val="0050239F"/>
    <w:rsid w:val="00504397"/>
    <w:rsid w:val="00504BAD"/>
    <w:rsid w:val="00505AD6"/>
    <w:rsid w:val="00505BC7"/>
    <w:rsid w:val="00505C3C"/>
    <w:rsid w:val="00507F84"/>
    <w:rsid w:val="00510421"/>
    <w:rsid w:val="00511A7F"/>
    <w:rsid w:val="00512968"/>
    <w:rsid w:val="005129D1"/>
    <w:rsid w:val="00512A69"/>
    <w:rsid w:val="005203D3"/>
    <w:rsid w:val="00520667"/>
    <w:rsid w:val="00520DFC"/>
    <w:rsid w:val="005213B9"/>
    <w:rsid w:val="00522D0D"/>
    <w:rsid w:val="00522DF7"/>
    <w:rsid w:val="005236BA"/>
    <w:rsid w:val="0052670B"/>
    <w:rsid w:val="00531AD3"/>
    <w:rsid w:val="00532CE2"/>
    <w:rsid w:val="005362D6"/>
    <w:rsid w:val="00542764"/>
    <w:rsid w:val="00542D74"/>
    <w:rsid w:val="0054434C"/>
    <w:rsid w:val="00545052"/>
    <w:rsid w:val="005455B1"/>
    <w:rsid w:val="0054659F"/>
    <w:rsid w:val="00550C63"/>
    <w:rsid w:val="0055751E"/>
    <w:rsid w:val="00557C41"/>
    <w:rsid w:val="0056073E"/>
    <w:rsid w:val="00564831"/>
    <w:rsid w:val="00564857"/>
    <w:rsid w:val="00566DDF"/>
    <w:rsid w:val="0056745B"/>
    <w:rsid w:val="00572F40"/>
    <w:rsid w:val="00577B90"/>
    <w:rsid w:val="005828F5"/>
    <w:rsid w:val="00583BAD"/>
    <w:rsid w:val="00584026"/>
    <w:rsid w:val="00587E0B"/>
    <w:rsid w:val="0059022D"/>
    <w:rsid w:val="00592DDA"/>
    <w:rsid w:val="0059331F"/>
    <w:rsid w:val="00595799"/>
    <w:rsid w:val="00597950"/>
    <w:rsid w:val="005A27C6"/>
    <w:rsid w:val="005A2EFC"/>
    <w:rsid w:val="005A3234"/>
    <w:rsid w:val="005A343F"/>
    <w:rsid w:val="005A3A8A"/>
    <w:rsid w:val="005A48A9"/>
    <w:rsid w:val="005A4F43"/>
    <w:rsid w:val="005B023B"/>
    <w:rsid w:val="005B0758"/>
    <w:rsid w:val="005B0A96"/>
    <w:rsid w:val="005B28FF"/>
    <w:rsid w:val="005B45A6"/>
    <w:rsid w:val="005B4F7F"/>
    <w:rsid w:val="005B538A"/>
    <w:rsid w:val="005B5D16"/>
    <w:rsid w:val="005D0814"/>
    <w:rsid w:val="005D25FD"/>
    <w:rsid w:val="005D2BCE"/>
    <w:rsid w:val="005D392A"/>
    <w:rsid w:val="005D5644"/>
    <w:rsid w:val="005E18F9"/>
    <w:rsid w:val="005E20E7"/>
    <w:rsid w:val="005E41A3"/>
    <w:rsid w:val="005F300A"/>
    <w:rsid w:val="005F3394"/>
    <w:rsid w:val="005F4262"/>
    <w:rsid w:val="005F6C6D"/>
    <w:rsid w:val="005F6F95"/>
    <w:rsid w:val="005F7944"/>
    <w:rsid w:val="00600663"/>
    <w:rsid w:val="00603D41"/>
    <w:rsid w:val="006055B9"/>
    <w:rsid w:val="0060624B"/>
    <w:rsid w:val="00614AF4"/>
    <w:rsid w:val="00620510"/>
    <w:rsid w:val="00620AE5"/>
    <w:rsid w:val="00621469"/>
    <w:rsid w:val="00621ABF"/>
    <w:rsid w:val="00625A67"/>
    <w:rsid w:val="0063104D"/>
    <w:rsid w:val="00631211"/>
    <w:rsid w:val="006346E9"/>
    <w:rsid w:val="00637143"/>
    <w:rsid w:val="00640825"/>
    <w:rsid w:val="00641E72"/>
    <w:rsid w:val="00642D5B"/>
    <w:rsid w:val="00642D8F"/>
    <w:rsid w:val="00644565"/>
    <w:rsid w:val="00644999"/>
    <w:rsid w:val="00646033"/>
    <w:rsid w:val="00646E72"/>
    <w:rsid w:val="00655284"/>
    <w:rsid w:val="006555FF"/>
    <w:rsid w:val="00656A31"/>
    <w:rsid w:val="00656E7C"/>
    <w:rsid w:val="00656F0A"/>
    <w:rsid w:val="00660305"/>
    <w:rsid w:val="006625BD"/>
    <w:rsid w:val="00662E8F"/>
    <w:rsid w:val="00671349"/>
    <w:rsid w:val="0067141F"/>
    <w:rsid w:val="00671E4B"/>
    <w:rsid w:val="0067257E"/>
    <w:rsid w:val="006727CE"/>
    <w:rsid w:val="00673101"/>
    <w:rsid w:val="00674814"/>
    <w:rsid w:val="00674ECB"/>
    <w:rsid w:val="00674FDE"/>
    <w:rsid w:val="0067565D"/>
    <w:rsid w:val="006809B7"/>
    <w:rsid w:val="0068137C"/>
    <w:rsid w:val="00681F57"/>
    <w:rsid w:val="00684896"/>
    <w:rsid w:val="006862E7"/>
    <w:rsid w:val="00687CE3"/>
    <w:rsid w:val="00687D6C"/>
    <w:rsid w:val="0069089F"/>
    <w:rsid w:val="00693312"/>
    <w:rsid w:val="006937AC"/>
    <w:rsid w:val="00693E57"/>
    <w:rsid w:val="006A03F3"/>
    <w:rsid w:val="006A4B45"/>
    <w:rsid w:val="006A52BE"/>
    <w:rsid w:val="006B2DB0"/>
    <w:rsid w:val="006B394A"/>
    <w:rsid w:val="006B4C95"/>
    <w:rsid w:val="006B54A6"/>
    <w:rsid w:val="006B5F4E"/>
    <w:rsid w:val="006B72B6"/>
    <w:rsid w:val="006C294C"/>
    <w:rsid w:val="006C2967"/>
    <w:rsid w:val="006C30BB"/>
    <w:rsid w:val="006C30F7"/>
    <w:rsid w:val="006C3F9D"/>
    <w:rsid w:val="006C4170"/>
    <w:rsid w:val="006C4A3D"/>
    <w:rsid w:val="006C5C21"/>
    <w:rsid w:val="006C5DEF"/>
    <w:rsid w:val="006C792E"/>
    <w:rsid w:val="006D0556"/>
    <w:rsid w:val="006D0DAD"/>
    <w:rsid w:val="006D0DCD"/>
    <w:rsid w:val="006D1B11"/>
    <w:rsid w:val="006D55CB"/>
    <w:rsid w:val="006D7DE3"/>
    <w:rsid w:val="006E2D30"/>
    <w:rsid w:val="006E31B1"/>
    <w:rsid w:val="006E34EB"/>
    <w:rsid w:val="006E3AFE"/>
    <w:rsid w:val="006E5CAD"/>
    <w:rsid w:val="006F0417"/>
    <w:rsid w:val="006F2E24"/>
    <w:rsid w:val="006F2F3A"/>
    <w:rsid w:val="006F353A"/>
    <w:rsid w:val="006F50BD"/>
    <w:rsid w:val="006F6B3F"/>
    <w:rsid w:val="0070146C"/>
    <w:rsid w:val="007017E2"/>
    <w:rsid w:val="00702B7B"/>
    <w:rsid w:val="007040F9"/>
    <w:rsid w:val="0070676B"/>
    <w:rsid w:val="0070703D"/>
    <w:rsid w:val="007127FB"/>
    <w:rsid w:val="00712E2C"/>
    <w:rsid w:val="00713C11"/>
    <w:rsid w:val="007140DF"/>
    <w:rsid w:val="00714CEC"/>
    <w:rsid w:val="007153BC"/>
    <w:rsid w:val="00715C24"/>
    <w:rsid w:val="007167A7"/>
    <w:rsid w:val="0071752F"/>
    <w:rsid w:val="0072163B"/>
    <w:rsid w:val="007227E4"/>
    <w:rsid w:val="007241A8"/>
    <w:rsid w:val="00724557"/>
    <w:rsid w:val="00726D53"/>
    <w:rsid w:val="007336B6"/>
    <w:rsid w:val="00735497"/>
    <w:rsid w:val="007360E2"/>
    <w:rsid w:val="00736BEA"/>
    <w:rsid w:val="0073786F"/>
    <w:rsid w:val="00737E06"/>
    <w:rsid w:val="00740C02"/>
    <w:rsid w:val="00742528"/>
    <w:rsid w:val="00742D23"/>
    <w:rsid w:val="0074571E"/>
    <w:rsid w:val="00746DAC"/>
    <w:rsid w:val="00746F7D"/>
    <w:rsid w:val="0075084A"/>
    <w:rsid w:val="00753FFA"/>
    <w:rsid w:val="00756EF9"/>
    <w:rsid w:val="0076511E"/>
    <w:rsid w:val="00765986"/>
    <w:rsid w:val="00770008"/>
    <w:rsid w:val="007702AE"/>
    <w:rsid w:val="00773B00"/>
    <w:rsid w:val="00776119"/>
    <w:rsid w:val="00777ECF"/>
    <w:rsid w:val="00780620"/>
    <w:rsid w:val="00781193"/>
    <w:rsid w:val="00782461"/>
    <w:rsid w:val="00783815"/>
    <w:rsid w:val="00790E5E"/>
    <w:rsid w:val="007942C6"/>
    <w:rsid w:val="00794FB9"/>
    <w:rsid w:val="007955BB"/>
    <w:rsid w:val="0079573E"/>
    <w:rsid w:val="007A1E02"/>
    <w:rsid w:val="007A1E69"/>
    <w:rsid w:val="007A32F8"/>
    <w:rsid w:val="007A7C01"/>
    <w:rsid w:val="007B0460"/>
    <w:rsid w:val="007B0C04"/>
    <w:rsid w:val="007B1036"/>
    <w:rsid w:val="007B1B89"/>
    <w:rsid w:val="007B323D"/>
    <w:rsid w:val="007B3B9E"/>
    <w:rsid w:val="007B556A"/>
    <w:rsid w:val="007B6412"/>
    <w:rsid w:val="007C0CCF"/>
    <w:rsid w:val="007C17E0"/>
    <w:rsid w:val="007C234E"/>
    <w:rsid w:val="007C240D"/>
    <w:rsid w:val="007C52EC"/>
    <w:rsid w:val="007C5D5A"/>
    <w:rsid w:val="007C5FE1"/>
    <w:rsid w:val="007C61C6"/>
    <w:rsid w:val="007D1AA9"/>
    <w:rsid w:val="007D1D07"/>
    <w:rsid w:val="007D2FC3"/>
    <w:rsid w:val="007D3728"/>
    <w:rsid w:val="007D46EE"/>
    <w:rsid w:val="007D50F6"/>
    <w:rsid w:val="007D6D41"/>
    <w:rsid w:val="007E17F9"/>
    <w:rsid w:val="007E2557"/>
    <w:rsid w:val="007E6732"/>
    <w:rsid w:val="007E7FAB"/>
    <w:rsid w:val="007F09FC"/>
    <w:rsid w:val="007F2243"/>
    <w:rsid w:val="007F4544"/>
    <w:rsid w:val="007F517C"/>
    <w:rsid w:val="007F6115"/>
    <w:rsid w:val="007F6E81"/>
    <w:rsid w:val="00800CF7"/>
    <w:rsid w:val="00803C17"/>
    <w:rsid w:val="00810E47"/>
    <w:rsid w:val="00811E4B"/>
    <w:rsid w:val="00814CAE"/>
    <w:rsid w:val="008154EA"/>
    <w:rsid w:val="0081673F"/>
    <w:rsid w:val="00821B29"/>
    <w:rsid w:val="0082218E"/>
    <w:rsid w:val="00822C73"/>
    <w:rsid w:val="00824C5F"/>
    <w:rsid w:val="00825C8B"/>
    <w:rsid w:val="0082645F"/>
    <w:rsid w:val="008279F7"/>
    <w:rsid w:val="00827AC3"/>
    <w:rsid w:val="00830A16"/>
    <w:rsid w:val="00831478"/>
    <w:rsid w:val="00832D00"/>
    <w:rsid w:val="00835871"/>
    <w:rsid w:val="00836BEE"/>
    <w:rsid w:val="00837C6A"/>
    <w:rsid w:val="008412A2"/>
    <w:rsid w:val="00842E21"/>
    <w:rsid w:val="008445F2"/>
    <w:rsid w:val="00844C77"/>
    <w:rsid w:val="0084597C"/>
    <w:rsid w:val="00846513"/>
    <w:rsid w:val="00850A3E"/>
    <w:rsid w:val="00850AAC"/>
    <w:rsid w:val="0085103A"/>
    <w:rsid w:val="00851F5E"/>
    <w:rsid w:val="00852223"/>
    <w:rsid w:val="0085394C"/>
    <w:rsid w:val="0085435E"/>
    <w:rsid w:val="008556F8"/>
    <w:rsid w:val="00861534"/>
    <w:rsid w:val="00861D19"/>
    <w:rsid w:val="00862A09"/>
    <w:rsid w:val="0086424B"/>
    <w:rsid w:val="0086664A"/>
    <w:rsid w:val="00870F01"/>
    <w:rsid w:val="008718B6"/>
    <w:rsid w:val="00872586"/>
    <w:rsid w:val="00873787"/>
    <w:rsid w:val="008745B1"/>
    <w:rsid w:val="00880E82"/>
    <w:rsid w:val="00881769"/>
    <w:rsid w:val="008826D9"/>
    <w:rsid w:val="00882731"/>
    <w:rsid w:val="00882EC8"/>
    <w:rsid w:val="00883FBE"/>
    <w:rsid w:val="008845B4"/>
    <w:rsid w:val="008851BD"/>
    <w:rsid w:val="00885DD2"/>
    <w:rsid w:val="00892834"/>
    <w:rsid w:val="00893AF0"/>
    <w:rsid w:val="00893CCC"/>
    <w:rsid w:val="00895F79"/>
    <w:rsid w:val="008A1043"/>
    <w:rsid w:val="008A22AA"/>
    <w:rsid w:val="008A3CF3"/>
    <w:rsid w:val="008A476F"/>
    <w:rsid w:val="008A6E81"/>
    <w:rsid w:val="008A7496"/>
    <w:rsid w:val="008B0B57"/>
    <w:rsid w:val="008B2111"/>
    <w:rsid w:val="008B2B84"/>
    <w:rsid w:val="008B51F8"/>
    <w:rsid w:val="008B6C6A"/>
    <w:rsid w:val="008B7646"/>
    <w:rsid w:val="008C06A3"/>
    <w:rsid w:val="008C1D7D"/>
    <w:rsid w:val="008C2AE0"/>
    <w:rsid w:val="008C37D2"/>
    <w:rsid w:val="008C5B24"/>
    <w:rsid w:val="008C6263"/>
    <w:rsid w:val="008C795B"/>
    <w:rsid w:val="008D03F5"/>
    <w:rsid w:val="008D05D9"/>
    <w:rsid w:val="008D14C8"/>
    <w:rsid w:val="008D17AA"/>
    <w:rsid w:val="008D3028"/>
    <w:rsid w:val="008D54C1"/>
    <w:rsid w:val="008D54FA"/>
    <w:rsid w:val="008D631D"/>
    <w:rsid w:val="008D6B59"/>
    <w:rsid w:val="008E19FF"/>
    <w:rsid w:val="008E24C7"/>
    <w:rsid w:val="008E56C4"/>
    <w:rsid w:val="008E6623"/>
    <w:rsid w:val="008E7578"/>
    <w:rsid w:val="008F6DE6"/>
    <w:rsid w:val="008F78B4"/>
    <w:rsid w:val="00902AFE"/>
    <w:rsid w:val="009042FC"/>
    <w:rsid w:val="009044CA"/>
    <w:rsid w:val="00911F1E"/>
    <w:rsid w:val="00913297"/>
    <w:rsid w:val="00915F50"/>
    <w:rsid w:val="00916A77"/>
    <w:rsid w:val="009205F0"/>
    <w:rsid w:val="00920A75"/>
    <w:rsid w:val="00921468"/>
    <w:rsid w:val="00922926"/>
    <w:rsid w:val="00924592"/>
    <w:rsid w:val="00925D8E"/>
    <w:rsid w:val="00926BA0"/>
    <w:rsid w:val="00926FEE"/>
    <w:rsid w:val="0092729A"/>
    <w:rsid w:val="009272A6"/>
    <w:rsid w:val="009308AC"/>
    <w:rsid w:val="00930FCE"/>
    <w:rsid w:val="00933431"/>
    <w:rsid w:val="009351D3"/>
    <w:rsid w:val="00935540"/>
    <w:rsid w:val="0093685F"/>
    <w:rsid w:val="009369F2"/>
    <w:rsid w:val="00936F2A"/>
    <w:rsid w:val="009425A2"/>
    <w:rsid w:val="00942FEC"/>
    <w:rsid w:val="0094322C"/>
    <w:rsid w:val="009435CF"/>
    <w:rsid w:val="00943C67"/>
    <w:rsid w:val="009443C4"/>
    <w:rsid w:val="009445D1"/>
    <w:rsid w:val="0094662F"/>
    <w:rsid w:val="00947FBA"/>
    <w:rsid w:val="00952AF9"/>
    <w:rsid w:val="00955956"/>
    <w:rsid w:val="00957BE2"/>
    <w:rsid w:val="00961083"/>
    <w:rsid w:val="00964F32"/>
    <w:rsid w:val="0097104E"/>
    <w:rsid w:val="00972D55"/>
    <w:rsid w:val="00974647"/>
    <w:rsid w:val="00974854"/>
    <w:rsid w:val="00974F4A"/>
    <w:rsid w:val="009772D9"/>
    <w:rsid w:val="00980BF8"/>
    <w:rsid w:val="009810A6"/>
    <w:rsid w:val="00981571"/>
    <w:rsid w:val="009817AA"/>
    <w:rsid w:val="0098281C"/>
    <w:rsid w:val="00984A78"/>
    <w:rsid w:val="00984FB4"/>
    <w:rsid w:val="00985BDA"/>
    <w:rsid w:val="009876F4"/>
    <w:rsid w:val="00990A6F"/>
    <w:rsid w:val="00991A1C"/>
    <w:rsid w:val="00993248"/>
    <w:rsid w:val="0099425D"/>
    <w:rsid w:val="00995619"/>
    <w:rsid w:val="0099598F"/>
    <w:rsid w:val="00997827"/>
    <w:rsid w:val="009A289A"/>
    <w:rsid w:val="009A413F"/>
    <w:rsid w:val="009A5106"/>
    <w:rsid w:val="009A578A"/>
    <w:rsid w:val="009A5C7F"/>
    <w:rsid w:val="009A5F95"/>
    <w:rsid w:val="009A6DEB"/>
    <w:rsid w:val="009A7E79"/>
    <w:rsid w:val="009B0BB2"/>
    <w:rsid w:val="009B284F"/>
    <w:rsid w:val="009B2EAD"/>
    <w:rsid w:val="009C0A7E"/>
    <w:rsid w:val="009C0C66"/>
    <w:rsid w:val="009C3D46"/>
    <w:rsid w:val="009C48FB"/>
    <w:rsid w:val="009C712E"/>
    <w:rsid w:val="009C7837"/>
    <w:rsid w:val="009D1842"/>
    <w:rsid w:val="009D3780"/>
    <w:rsid w:val="009D407A"/>
    <w:rsid w:val="009D4C72"/>
    <w:rsid w:val="009D6DC5"/>
    <w:rsid w:val="009D7A3C"/>
    <w:rsid w:val="009E0279"/>
    <w:rsid w:val="009E0EB7"/>
    <w:rsid w:val="009E1FA2"/>
    <w:rsid w:val="009E56C1"/>
    <w:rsid w:val="009E5FD6"/>
    <w:rsid w:val="009E65DC"/>
    <w:rsid w:val="009F1E8D"/>
    <w:rsid w:val="009F22EB"/>
    <w:rsid w:val="009F3B98"/>
    <w:rsid w:val="009F3FA5"/>
    <w:rsid w:val="009F5B63"/>
    <w:rsid w:val="009F79C8"/>
    <w:rsid w:val="009F7B07"/>
    <w:rsid w:val="00A0016F"/>
    <w:rsid w:val="00A02B17"/>
    <w:rsid w:val="00A052FE"/>
    <w:rsid w:val="00A0559C"/>
    <w:rsid w:val="00A062BB"/>
    <w:rsid w:val="00A06E1C"/>
    <w:rsid w:val="00A102D8"/>
    <w:rsid w:val="00A121AE"/>
    <w:rsid w:val="00A13BB7"/>
    <w:rsid w:val="00A14F22"/>
    <w:rsid w:val="00A17989"/>
    <w:rsid w:val="00A211E3"/>
    <w:rsid w:val="00A2214F"/>
    <w:rsid w:val="00A240A4"/>
    <w:rsid w:val="00A259BB"/>
    <w:rsid w:val="00A25C26"/>
    <w:rsid w:val="00A263AA"/>
    <w:rsid w:val="00A30E2E"/>
    <w:rsid w:val="00A312D2"/>
    <w:rsid w:val="00A3261E"/>
    <w:rsid w:val="00A32F4C"/>
    <w:rsid w:val="00A3431D"/>
    <w:rsid w:val="00A3643B"/>
    <w:rsid w:val="00A41833"/>
    <w:rsid w:val="00A41E69"/>
    <w:rsid w:val="00A42A90"/>
    <w:rsid w:val="00A4512E"/>
    <w:rsid w:val="00A452CF"/>
    <w:rsid w:val="00A46780"/>
    <w:rsid w:val="00A500F9"/>
    <w:rsid w:val="00A50D94"/>
    <w:rsid w:val="00A526F1"/>
    <w:rsid w:val="00A5339F"/>
    <w:rsid w:val="00A5393B"/>
    <w:rsid w:val="00A552EB"/>
    <w:rsid w:val="00A5587D"/>
    <w:rsid w:val="00A5742F"/>
    <w:rsid w:val="00A604FB"/>
    <w:rsid w:val="00A61C37"/>
    <w:rsid w:val="00A62961"/>
    <w:rsid w:val="00A63D1D"/>
    <w:rsid w:val="00A64C6C"/>
    <w:rsid w:val="00A65D7A"/>
    <w:rsid w:val="00A663E1"/>
    <w:rsid w:val="00A66798"/>
    <w:rsid w:val="00A708DE"/>
    <w:rsid w:val="00A722AD"/>
    <w:rsid w:val="00A72E83"/>
    <w:rsid w:val="00A73525"/>
    <w:rsid w:val="00A7538F"/>
    <w:rsid w:val="00A819E0"/>
    <w:rsid w:val="00A82DD7"/>
    <w:rsid w:val="00A8329E"/>
    <w:rsid w:val="00A91180"/>
    <w:rsid w:val="00A95FC3"/>
    <w:rsid w:val="00A95FF2"/>
    <w:rsid w:val="00A96D15"/>
    <w:rsid w:val="00AA0788"/>
    <w:rsid w:val="00AA0F69"/>
    <w:rsid w:val="00AA15DC"/>
    <w:rsid w:val="00AA160D"/>
    <w:rsid w:val="00AA1941"/>
    <w:rsid w:val="00AA1DCE"/>
    <w:rsid w:val="00AA66E7"/>
    <w:rsid w:val="00AA75FC"/>
    <w:rsid w:val="00AB09A9"/>
    <w:rsid w:val="00AB0D2C"/>
    <w:rsid w:val="00AB11BA"/>
    <w:rsid w:val="00AB1EF5"/>
    <w:rsid w:val="00AB1FB4"/>
    <w:rsid w:val="00AB334A"/>
    <w:rsid w:val="00AB636A"/>
    <w:rsid w:val="00AB7525"/>
    <w:rsid w:val="00AB7604"/>
    <w:rsid w:val="00AB767C"/>
    <w:rsid w:val="00AC15AA"/>
    <w:rsid w:val="00AC1A93"/>
    <w:rsid w:val="00AC1E4D"/>
    <w:rsid w:val="00AC32B9"/>
    <w:rsid w:val="00AC404C"/>
    <w:rsid w:val="00AC68F3"/>
    <w:rsid w:val="00AC7C3E"/>
    <w:rsid w:val="00AD2496"/>
    <w:rsid w:val="00AD4D88"/>
    <w:rsid w:val="00AD65BA"/>
    <w:rsid w:val="00AE0878"/>
    <w:rsid w:val="00AE0D3F"/>
    <w:rsid w:val="00AE12A3"/>
    <w:rsid w:val="00AE1CC5"/>
    <w:rsid w:val="00AE428C"/>
    <w:rsid w:val="00AE67AF"/>
    <w:rsid w:val="00AF0074"/>
    <w:rsid w:val="00AF1C73"/>
    <w:rsid w:val="00AF2E2F"/>
    <w:rsid w:val="00AF4986"/>
    <w:rsid w:val="00AF4AAE"/>
    <w:rsid w:val="00AF5BE2"/>
    <w:rsid w:val="00B0080F"/>
    <w:rsid w:val="00B03FEE"/>
    <w:rsid w:val="00B14A0A"/>
    <w:rsid w:val="00B16D14"/>
    <w:rsid w:val="00B205FA"/>
    <w:rsid w:val="00B214D1"/>
    <w:rsid w:val="00B22F40"/>
    <w:rsid w:val="00B233B7"/>
    <w:rsid w:val="00B23C9E"/>
    <w:rsid w:val="00B24279"/>
    <w:rsid w:val="00B3525E"/>
    <w:rsid w:val="00B360FE"/>
    <w:rsid w:val="00B3664F"/>
    <w:rsid w:val="00B36A71"/>
    <w:rsid w:val="00B41176"/>
    <w:rsid w:val="00B425EA"/>
    <w:rsid w:val="00B427FB"/>
    <w:rsid w:val="00B44EAF"/>
    <w:rsid w:val="00B468E7"/>
    <w:rsid w:val="00B500C0"/>
    <w:rsid w:val="00B51D5D"/>
    <w:rsid w:val="00B53256"/>
    <w:rsid w:val="00B53717"/>
    <w:rsid w:val="00B5602D"/>
    <w:rsid w:val="00B563B2"/>
    <w:rsid w:val="00B61C8D"/>
    <w:rsid w:val="00B62423"/>
    <w:rsid w:val="00B639D8"/>
    <w:rsid w:val="00B71963"/>
    <w:rsid w:val="00B728AA"/>
    <w:rsid w:val="00B736F8"/>
    <w:rsid w:val="00B7630E"/>
    <w:rsid w:val="00B77A48"/>
    <w:rsid w:val="00B85B6C"/>
    <w:rsid w:val="00B866DE"/>
    <w:rsid w:val="00B86CF0"/>
    <w:rsid w:val="00B878EA"/>
    <w:rsid w:val="00B9069B"/>
    <w:rsid w:val="00B94355"/>
    <w:rsid w:val="00B94582"/>
    <w:rsid w:val="00B9518D"/>
    <w:rsid w:val="00B96121"/>
    <w:rsid w:val="00B96DB3"/>
    <w:rsid w:val="00B97925"/>
    <w:rsid w:val="00B97C16"/>
    <w:rsid w:val="00BA0646"/>
    <w:rsid w:val="00BA0FF9"/>
    <w:rsid w:val="00BA19E6"/>
    <w:rsid w:val="00BA4753"/>
    <w:rsid w:val="00BA6A30"/>
    <w:rsid w:val="00BA7847"/>
    <w:rsid w:val="00BB2606"/>
    <w:rsid w:val="00BB2FD1"/>
    <w:rsid w:val="00BB56E0"/>
    <w:rsid w:val="00BB72FE"/>
    <w:rsid w:val="00BB734F"/>
    <w:rsid w:val="00BC3139"/>
    <w:rsid w:val="00BC41DD"/>
    <w:rsid w:val="00BC6C57"/>
    <w:rsid w:val="00BC76C2"/>
    <w:rsid w:val="00BC7921"/>
    <w:rsid w:val="00BD13A6"/>
    <w:rsid w:val="00BD4635"/>
    <w:rsid w:val="00BE11A3"/>
    <w:rsid w:val="00BE309E"/>
    <w:rsid w:val="00BE3868"/>
    <w:rsid w:val="00BE4E49"/>
    <w:rsid w:val="00BF1830"/>
    <w:rsid w:val="00BF211C"/>
    <w:rsid w:val="00BF2FA5"/>
    <w:rsid w:val="00BF346B"/>
    <w:rsid w:val="00C04C44"/>
    <w:rsid w:val="00C0548E"/>
    <w:rsid w:val="00C11469"/>
    <w:rsid w:val="00C21070"/>
    <w:rsid w:val="00C21290"/>
    <w:rsid w:val="00C22A3C"/>
    <w:rsid w:val="00C230B1"/>
    <w:rsid w:val="00C236AA"/>
    <w:rsid w:val="00C2479E"/>
    <w:rsid w:val="00C24C4D"/>
    <w:rsid w:val="00C26EC4"/>
    <w:rsid w:val="00C32C5A"/>
    <w:rsid w:val="00C3530B"/>
    <w:rsid w:val="00C3564B"/>
    <w:rsid w:val="00C367E0"/>
    <w:rsid w:val="00C41C41"/>
    <w:rsid w:val="00C43136"/>
    <w:rsid w:val="00C44026"/>
    <w:rsid w:val="00C45392"/>
    <w:rsid w:val="00C4758C"/>
    <w:rsid w:val="00C505BF"/>
    <w:rsid w:val="00C51524"/>
    <w:rsid w:val="00C52F8B"/>
    <w:rsid w:val="00C53C87"/>
    <w:rsid w:val="00C55D81"/>
    <w:rsid w:val="00C56BD2"/>
    <w:rsid w:val="00C60986"/>
    <w:rsid w:val="00C60DB9"/>
    <w:rsid w:val="00C6126C"/>
    <w:rsid w:val="00C6154B"/>
    <w:rsid w:val="00C661B1"/>
    <w:rsid w:val="00C67888"/>
    <w:rsid w:val="00C7004C"/>
    <w:rsid w:val="00C701C2"/>
    <w:rsid w:val="00C70245"/>
    <w:rsid w:val="00C72B26"/>
    <w:rsid w:val="00C7492B"/>
    <w:rsid w:val="00C77955"/>
    <w:rsid w:val="00C82C28"/>
    <w:rsid w:val="00C84D13"/>
    <w:rsid w:val="00C85463"/>
    <w:rsid w:val="00C85AD8"/>
    <w:rsid w:val="00C87108"/>
    <w:rsid w:val="00C87A22"/>
    <w:rsid w:val="00C9238C"/>
    <w:rsid w:val="00C930A2"/>
    <w:rsid w:val="00C945A6"/>
    <w:rsid w:val="00C95C23"/>
    <w:rsid w:val="00C9747E"/>
    <w:rsid w:val="00CA1001"/>
    <w:rsid w:val="00CA40C5"/>
    <w:rsid w:val="00CA40EC"/>
    <w:rsid w:val="00CA5E90"/>
    <w:rsid w:val="00CA66DA"/>
    <w:rsid w:val="00CA72BC"/>
    <w:rsid w:val="00CA7A62"/>
    <w:rsid w:val="00CB74B4"/>
    <w:rsid w:val="00CC177F"/>
    <w:rsid w:val="00CC1BD1"/>
    <w:rsid w:val="00CC4BF0"/>
    <w:rsid w:val="00CC4D49"/>
    <w:rsid w:val="00CC60EA"/>
    <w:rsid w:val="00CD0531"/>
    <w:rsid w:val="00CD5ED1"/>
    <w:rsid w:val="00CD75CD"/>
    <w:rsid w:val="00CE4133"/>
    <w:rsid w:val="00CE669B"/>
    <w:rsid w:val="00CF163D"/>
    <w:rsid w:val="00CF1D60"/>
    <w:rsid w:val="00CF28D1"/>
    <w:rsid w:val="00CF2F3B"/>
    <w:rsid w:val="00CF425A"/>
    <w:rsid w:val="00D002CE"/>
    <w:rsid w:val="00D017FE"/>
    <w:rsid w:val="00D03DDD"/>
    <w:rsid w:val="00D04C21"/>
    <w:rsid w:val="00D05302"/>
    <w:rsid w:val="00D068A7"/>
    <w:rsid w:val="00D07E8A"/>
    <w:rsid w:val="00D101F7"/>
    <w:rsid w:val="00D1092D"/>
    <w:rsid w:val="00D10CDB"/>
    <w:rsid w:val="00D12E7D"/>
    <w:rsid w:val="00D1566F"/>
    <w:rsid w:val="00D21CB9"/>
    <w:rsid w:val="00D21D3D"/>
    <w:rsid w:val="00D2223E"/>
    <w:rsid w:val="00D2350C"/>
    <w:rsid w:val="00D25823"/>
    <w:rsid w:val="00D25E37"/>
    <w:rsid w:val="00D30686"/>
    <w:rsid w:val="00D315BF"/>
    <w:rsid w:val="00D31CE6"/>
    <w:rsid w:val="00D320A0"/>
    <w:rsid w:val="00D356A3"/>
    <w:rsid w:val="00D37F02"/>
    <w:rsid w:val="00D41D17"/>
    <w:rsid w:val="00D43F79"/>
    <w:rsid w:val="00D44277"/>
    <w:rsid w:val="00D4685B"/>
    <w:rsid w:val="00D46920"/>
    <w:rsid w:val="00D4767A"/>
    <w:rsid w:val="00D5011E"/>
    <w:rsid w:val="00D546E7"/>
    <w:rsid w:val="00D54F2A"/>
    <w:rsid w:val="00D55669"/>
    <w:rsid w:val="00D57DFA"/>
    <w:rsid w:val="00D64061"/>
    <w:rsid w:val="00D673CB"/>
    <w:rsid w:val="00D71430"/>
    <w:rsid w:val="00D71580"/>
    <w:rsid w:val="00D717D8"/>
    <w:rsid w:val="00D74A5F"/>
    <w:rsid w:val="00D758D2"/>
    <w:rsid w:val="00D76AB4"/>
    <w:rsid w:val="00D77FB4"/>
    <w:rsid w:val="00D803C6"/>
    <w:rsid w:val="00D81853"/>
    <w:rsid w:val="00D82762"/>
    <w:rsid w:val="00D84875"/>
    <w:rsid w:val="00D84EA8"/>
    <w:rsid w:val="00D914EA"/>
    <w:rsid w:val="00D91639"/>
    <w:rsid w:val="00D91D0C"/>
    <w:rsid w:val="00D946E4"/>
    <w:rsid w:val="00DA283B"/>
    <w:rsid w:val="00DA3E67"/>
    <w:rsid w:val="00DA5A00"/>
    <w:rsid w:val="00DA6AD5"/>
    <w:rsid w:val="00DB3DDC"/>
    <w:rsid w:val="00DB6579"/>
    <w:rsid w:val="00DB6E61"/>
    <w:rsid w:val="00DC1D21"/>
    <w:rsid w:val="00DC326F"/>
    <w:rsid w:val="00DC372E"/>
    <w:rsid w:val="00DC69BA"/>
    <w:rsid w:val="00DC6CBD"/>
    <w:rsid w:val="00DD03D4"/>
    <w:rsid w:val="00DD1433"/>
    <w:rsid w:val="00DD1AE1"/>
    <w:rsid w:val="00DD2966"/>
    <w:rsid w:val="00DD3042"/>
    <w:rsid w:val="00DD4EE6"/>
    <w:rsid w:val="00DE05AE"/>
    <w:rsid w:val="00DE0FC5"/>
    <w:rsid w:val="00DE144E"/>
    <w:rsid w:val="00DE20AA"/>
    <w:rsid w:val="00DE3672"/>
    <w:rsid w:val="00DE3725"/>
    <w:rsid w:val="00DE5B46"/>
    <w:rsid w:val="00DE75CC"/>
    <w:rsid w:val="00DE792B"/>
    <w:rsid w:val="00DF0592"/>
    <w:rsid w:val="00DF2599"/>
    <w:rsid w:val="00DF3169"/>
    <w:rsid w:val="00DF66B0"/>
    <w:rsid w:val="00E00E17"/>
    <w:rsid w:val="00E01B1B"/>
    <w:rsid w:val="00E01F62"/>
    <w:rsid w:val="00E02578"/>
    <w:rsid w:val="00E060CB"/>
    <w:rsid w:val="00E119B8"/>
    <w:rsid w:val="00E1286C"/>
    <w:rsid w:val="00E13723"/>
    <w:rsid w:val="00E14EA2"/>
    <w:rsid w:val="00E17325"/>
    <w:rsid w:val="00E17990"/>
    <w:rsid w:val="00E20271"/>
    <w:rsid w:val="00E202FD"/>
    <w:rsid w:val="00E243B5"/>
    <w:rsid w:val="00E2666E"/>
    <w:rsid w:val="00E27E65"/>
    <w:rsid w:val="00E3492B"/>
    <w:rsid w:val="00E37729"/>
    <w:rsid w:val="00E377B2"/>
    <w:rsid w:val="00E40808"/>
    <w:rsid w:val="00E40A70"/>
    <w:rsid w:val="00E40E54"/>
    <w:rsid w:val="00E41653"/>
    <w:rsid w:val="00E41E47"/>
    <w:rsid w:val="00E50963"/>
    <w:rsid w:val="00E542F9"/>
    <w:rsid w:val="00E57908"/>
    <w:rsid w:val="00E6016A"/>
    <w:rsid w:val="00E60AC5"/>
    <w:rsid w:val="00E62AED"/>
    <w:rsid w:val="00E64D33"/>
    <w:rsid w:val="00E6641B"/>
    <w:rsid w:val="00E67444"/>
    <w:rsid w:val="00E701C8"/>
    <w:rsid w:val="00E70263"/>
    <w:rsid w:val="00E70264"/>
    <w:rsid w:val="00E809A2"/>
    <w:rsid w:val="00E81D70"/>
    <w:rsid w:val="00E81F05"/>
    <w:rsid w:val="00E8255B"/>
    <w:rsid w:val="00E82ADB"/>
    <w:rsid w:val="00E82EAF"/>
    <w:rsid w:val="00E844E7"/>
    <w:rsid w:val="00E855C5"/>
    <w:rsid w:val="00E8679A"/>
    <w:rsid w:val="00E86D2F"/>
    <w:rsid w:val="00E87C23"/>
    <w:rsid w:val="00E9055F"/>
    <w:rsid w:val="00E90B07"/>
    <w:rsid w:val="00E90D23"/>
    <w:rsid w:val="00E90EA6"/>
    <w:rsid w:val="00E95A82"/>
    <w:rsid w:val="00E963EA"/>
    <w:rsid w:val="00E965CD"/>
    <w:rsid w:val="00EA054B"/>
    <w:rsid w:val="00EA1520"/>
    <w:rsid w:val="00EA163E"/>
    <w:rsid w:val="00EA5A58"/>
    <w:rsid w:val="00EA7654"/>
    <w:rsid w:val="00EB2784"/>
    <w:rsid w:val="00EB2F01"/>
    <w:rsid w:val="00EB5FDC"/>
    <w:rsid w:val="00EB66FC"/>
    <w:rsid w:val="00EC0724"/>
    <w:rsid w:val="00EC4666"/>
    <w:rsid w:val="00EC51E9"/>
    <w:rsid w:val="00EC5331"/>
    <w:rsid w:val="00EC5C04"/>
    <w:rsid w:val="00ED0B81"/>
    <w:rsid w:val="00ED1060"/>
    <w:rsid w:val="00ED447B"/>
    <w:rsid w:val="00ED582A"/>
    <w:rsid w:val="00EE1AE0"/>
    <w:rsid w:val="00EE2CDF"/>
    <w:rsid w:val="00EE34E2"/>
    <w:rsid w:val="00EE6E43"/>
    <w:rsid w:val="00EE7124"/>
    <w:rsid w:val="00EF0969"/>
    <w:rsid w:val="00EF1409"/>
    <w:rsid w:val="00EF148A"/>
    <w:rsid w:val="00EF1494"/>
    <w:rsid w:val="00EF16E8"/>
    <w:rsid w:val="00EF24FD"/>
    <w:rsid w:val="00EF462D"/>
    <w:rsid w:val="00EF4D16"/>
    <w:rsid w:val="00EF51C2"/>
    <w:rsid w:val="00EF5889"/>
    <w:rsid w:val="00EF709B"/>
    <w:rsid w:val="00F018A3"/>
    <w:rsid w:val="00F035EB"/>
    <w:rsid w:val="00F039DB"/>
    <w:rsid w:val="00F07025"/>
    <w:rsid w:val="00F07833"/>
    <w:rsid w:val="00F10F34"/>
    <w:rsid w:val="00F10FF8"/>
    <w:rsid w:val="00F14C0A"/>
    <w:rsid w:val="00F15743"/>
    <w:rsid w:val="00F1745E"/>
    <w:rsid w:val="00F17C78"/>
    <w:rsid w:val="00F2109F"/>
    <w:rsid w:val="00F22454"/>
    <w:rsid w:val="00F22CE6"/>
    <w:rsid w:val="00F24053"/>
    <w:rsid w:val="00F241C7"/>
    <w:rsid w:val="00F249C5"/>
    <w:rsid w:val="00F266A7"/>
    <w:rsid w:val="00F26E3B"/>
    <w:rsid w:val="00F30B00"/>
    <w:rsid w:val="00F319C4"/>
    <w:rsid w:val="00F32778"/>
    <w:rsid w:val="00F348E7"/>
    <w:rsid w:val="00F349F4"/>
    <w:rsid w:val="00F428BE"/>
    <w:rsid w:val="00F42903"/>
    <w:rsid w:val="00F46B6E"/>
    <w:rsid w:val="00F513B8"/>
    <w:rsid w:val="00F51755"/>
    <w:rsid w:val="00F51EC8"/>
    <w:rsid w:val="00F53EEE"/>
    <w:rsid w:val="00F55CB2"/>
    <w:rsid w:val="00F60176"/>
    <w:rsid w:val="00F613E4"/>
    <w:rsid w:val="00F63E1F"/>
    <w:rsid w:val="00F6428B"/>
    <w:rsid w:val="00F642A3"/>
    <w:rsid w:val="00F65662"/>
    <w:rsid w:val="00F71268"/>
    <w:rsid w:val="00F720D2"/>
    <w:rsid w:val="00F732B5"/>
    <w:rsid w:val="00F73C4D"/>
    <w:rsid w:val="00F75363"/>
    <w:rsid w:val="00F75BAF"/>
    <w:rsid w:val="00F760C8"/>
    <w:rsid w:val="00F77749"/>
    <w:rsid w:val="00F77E53"/>
    <w:rsid w:val="00F80C8A"/>
    <w:rsid w:val="00F85503"/>
    <w:rsid w:val="00F85C11"/>
    <w:rsid w:val="00F90735"/>
    <w:rsid w:val="00F90FF8"/>
    <w:rsid w:val="00F91227"/>
    <w:rsid w:val="00F92131"/>
    <w:rsid w:val="00F92F48"/>
    <w:rsid w:val="00F95EE4"/>
    <w:rsid w:val="00F9637A"/>
    <w:rsid w:val="00FA04FA"/>
    <w:rsid w:val="00FA3B56"/>
    <w:rsid w:val="00FA3B63"/>
    <w:rsid w:val="00FA6323"/>
    <w:rsid w:val="00FA6569"/>
    <w:rsid w:val="00FA6DCC"/>
    <w:rsid w:val="00FB21BF"/>
    <w:rsid w:val="00FB2366"/>
    <w:rsid w:val="00FB4563"/>
    <w:rsid w:val="00FB6888"/>
    <w:rsid w:val="00FB6ADF"/>
    <w:rsid w:val="00FB7F2B"/>
    <w:rsid w:val="00FC4CAF"/>
    <w:rsid w:val="00FC67D2"/>
    <w:rsid w:val="00FC7565"/>
    <w:rsid w:val="00FD01CD"/>
    <w:rsid w:val="00FD0696"/>
    <w:rsid w:val="00FD0879"/>
    <w:rsid w:val="00FD2EE8"/>
    <w:rsid w:val="00FD2F47"/>
    <w:rsid w:val="00FD4537"/>
    <w:rsid w:val="00FD4A71"/>
    <w:rsid w:val="00FD5504"/>
    <w:rsid w:val="00FD5CBC"/>
    <w:rsid w:val="00FD6B40"/>
    <w:rsid w:val="00FD6C6F"/>
    <w:rsid w:val="00FD7FE1"/>
    <w:rsid w:val="00FE057C"/>
    <w:rsid w:val="00FE10C0"/>
    <w:rsid w:val="00FE190A"/>
    <w:rsid w:val="00FE204C"/>
    <w:rsid w:val="00FE33D0"/>
    <w:rsid w:val="00FE58FA"/>
    <w:rsid w:val="00FE6491"/>
    <w:rsid w:val="00FF0C3F"/>
    <w:rsid w:val="00FF40D8"/>
    <w:rsid w:val="00FF5DB6"/>
    <w:rsid w:val="00FF77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3B0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431"/>
    <w:pPr>
      <w:spacing w:before="240" w:after="240" w:line="360" w:lineRule="auto"/>
    </w:pPr>
    <w:rPr>
      <w:rFonts w:ascii="Work Sans" w:hAnsi="Work Sans"/>
      <w:color w:val="2F3A48" w:themeColor="text2"/>
    </w:rPr>
  </w:style>
  <w:style w:type="paragraph" w:styleId="Heading1">
    <w:name w:val="heading 1"/>
    <w:next w:val="Normal"/>
    <w:link w:val="Heading1Char"/>
    <w:uiPriority w:val="9"/>
    <w:qFormat/>
    <w:rsid w:val="005E18F9"/>
    <w:pPr>
      <w:pageBreakBefore/>
      <w:spacing w:before="360" w:after="240"/>
      <w:outlineLvl w:val="0"/>
    </w:pPr>
    <w:rPr>
      <w:rFonts w:ascii="Work Sans Medium" w:hAnsi="Work Sans Medium" w:cs="Calibri"/>
      <w:bCs/>
      <w:color w:val="2F3A48" w:themeColor="text2"/>
      <w:sz w:val="36"/>
      <w:szCs w:val="36"/>
    </w:rPr>
  </w:style>
  <w:style w:type="paragraph" w:styleId="Heading2">
    <w:name w:val="heading 2"/>
    <w:basedOn w:val="Normal"/>
    <w:next w:val="Normal"/>
    <w:link w:val="Heading2Char"/>
    <w:uiPriority w:val="9"/>
    <w:unhideWhenUsed/>
    <w:qFormat/>
    <w:rsid w:val="00AB7525"/>
    <w:pPr>
      <w:autoSpaceDE w:val="0"/>
      <w:autoSpaceDN w:val="0"/>
      <w:adjustRightInd w:val="0"/>
      <w:spacing w:beforeLines="150" w:before="150" w:afterLines="100" w:after="100"/>
      <w:outlineLvl w:val="1"/>
    </w:pPr>
    <w:rPr>
      <w:rFonts w:ascii="Work Sans SemiBold" w:hAnsi="Work Sans SemiBold" w:cs="Calibri"/>
      <w:bCs/>
      <w:color w:val="1B598C" w:themeColor="text1"/>
      <w:sz w:val="28"/>
      <w:szCs w:val="36"/>
    </w:rPr>
  </w:style>
  <w:style w:type="paragraph" w:styleId="Heading3">
    <w:name w:val="heading 3"/>
    <w:basedOn w:val="Normal"/>
    <w:next w:val="Normal"/>
    <w:link w:val="Heading3Char"/>
    <w:uiPriority w:val="9"/>
    <w:unhideWhenUsed/>
    <w:qFormat/>
    <w:rsid w:val="00AB7525"/>
    <w:pPr>
      <w:keepNext/>
      <w:autoSpaceDE w:val="0"/>
      <w:autoSpaceDN w:val="0"/>
      <w:adjustRightInd w:val="0"/>
      <w:spacing w:beforeLines="150" w:before="150" w:afterLines="100" w:after="100"/>
      <w:outlineLvl w:val="2"/>
    </w:pPr>
    <w:rPr>
      <w:rFonts w:ascii="Work Sans SemiBold" w:hAnsi="Work Sans SemiBold"/>
      <w:szCs w:val="28"/>
    </w:rPr>
  </w:style>
  <w:style w:type="paragraph" w:styleId="Heading4">
    <w:name w:val="heading 4"/>
    <w:basedOn w:val="Normal"/>
    <w:next w:val="Normal"/>
    <w:link w:val="Heading4Char"/>
    <w:uiPriority w:val="9"/>
    <w:unhideWhenUsed/>
    <w:qFormat/>
    <w:rsid w:val="001E5E80"/>
    <w:pPr>
      <w:keepNext/>
      <w:spacing w:before="360"/>
      <w:outlineLvl w:val="3"/>
    </w:pPr>
    <w:rPr>
      <w:rFonts w:asciiTheme="minorHAnsi" w:hAnsiTheme="minorHAnsi"/>
      <w:b/>
    </w:rPr>
  </w:style>
  <w:style w:type="paragraph" w:styleId="Heading5">
    <w:name w:val="heading 5"/>
    <w:basedOn w:val="Heading4"/>
    <w:next w:val="Normal"/>
    <w:link w:val="Heading5Char"/>
    <w:uiPriority w:val="9"/>
    <w:unhideWhenUsed/>
    <w:qFormat/>
    <w:rsid w:val="003A5708"/>
    <w:pPr>
      <w:outlineLvl w:val="4"/>
    </w:pPr>
    <w:rPr>
      <w:lang w:val="en-GB"/>
    </w:rPr>
  </w:style>
  <w:style w:type="paragraph" w:styleId="Heading6">
    <w:name w:val="heading 6"/>
    <w:basedOn w:val="Normal"/>
    <w:next w:val="Normal"/>
    <w:link w:val="Heading6Char"/>
    <w:uiPriority w:val="9"/>
    <w:unhideWhenUsed/>
    <w:rsid w:val="001E5E8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rsid w:val="001E5E8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22655"/>
    <w:pPr>
      <w:keepNext/>
      <w:keepLines/>
      <w:spacing w:before="40" w:after="0"/>
      <w:outlineLvl w:val="7"/>
    </w:pPr>
    <w:rPr>
      <w:rFonts w:asciiTheme="majorHAnsi" w:eastAsiaTheme="majorEastAsia" w:hAnsiTheme="majorHAnsi" w:cstheme="majorBidi"/>
      <w:color w:val="2374B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353A"/>
    <w:pPr>
      <w:spacing w:before="100" w:beforeAutospacing="1" w:after="100" w:afterAutospacing="1"/>
    </w:pPr>
    <w:rPr>
      <w:rFonts w:asciiTheme="minorHAnsi" w:eastAsia="Times New Roman" w:hAnsiTheme="minorHAnsi" w:cs="Times New Roman"/>
      <w:lang w:eastAsia="en-GB"/>
    </w:rPr>
  </w:style>
  <w:style w:type="character" w:customStyle="1" w:styleId="Heading1Char">
    <w:name w:val="Heading 1 Char"/>
    <w:basedOn w:val="DefaultParagraphFont"/>
    <w:link w:val="Heading1"/>
    <w:uiPriority w:val="9"/>
    <w:rsid w:val="005E18F9"/>
    <w:rPr>
      <w:rFonts w:ascii="Work Sans Medium" w:hAnsi="Work Sans Medium" w:cs="Calibri"/>
      <w:bCs/>
      <w:color w:val="2F3A48" w:themeColor="text2"/>
      <w:sz w:val="36"/>
      <w:szCs w:val="36"/>
    </w:rPr>
  </w:style>
  <w:style w:type="paragraph" w:styleId="Header">
    <w:name w:val="header"/>
    <w:basedOn w:val="Normal"/>
    <w:link w:val="HeaderChar"/>
    <w:uiPriority w:val="99"/>
    <w:unhideWhenUsed/>
    <w:rsid w:val="007C1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7E0"/>
    <w:rPr>
      <w:rFonts w:ascii="Century Gothic" w:hAnsi="Century Gothic"/>
      <w:sz w:val="20"/>
    </w:rPr>
  </w:style>
  <w:style w:type="paragraph" w:styleId="Footer">
    <w:name w:val="footer"/>
    <w:basedOn w:val="Normal"/>
    <w:link w:val="FooterChar"/>
    <w:uiPriority w:val="99"/>
    <w:unhideWhenUsed/>
    <w:rsid w:val="007C1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7E0"/>
    <w:rPr>
      <w:rFonts w:ascii="Century Gothic" w:hAnsi="Century Gothic"/>
      <w:sz w:val="20"/>
    </w:rPr>
  </w:style>
  <w:style w:type="character" w:styleId="PageNumber">
    <w:name w:val="page number"/>
    <w:basedOn w:val="DefaultParagraphFont"/>
    <w:uiPriority w:val="99"/>
    <w:semiHidden/>
    <w:unhideWhenUsed/>
    <w:rsid w:val="007C17E0"/>
  </w:style>
  <w:style w:type="table" w:styleId="TableGrid">
    <w:name w:val="Table Grid"/>
    <w:basedOn w:val="TableNormal"/>
    <w:uiPriority w:val="39"/>
    <w:rsid w:val="007C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C17E0"/>
    <w:tblPr>
      <w:tblStyleRowBandSize w:val="1"/>
      <w:tblStyleColBandSize w:val="1"/>
    </w:tblPr>
    <w:tblStylePr w:type="firstRow">
      <w:rPr>
        <w:b/>
        <w:bCs/>
        <w:caps/>
      </w:rPr>
      <w:tblPr/>
      <w:tcPr>
        <w:tcBorders>
          <w:bottom w:val="single" w:sz="4" w:space="0" w:color="6EAEE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EAEE3" w:themeColor="text1" w:themeTint="80"/>
        </w:tcBorders>
      </w:tcPr>
    </w:tblStylePr>
    <w:tblStylePr w:type="lastCol">
      <w:rPr>
        <w:b/>
        <w:bCs/>
        <w:caps/>
      </w:rPr>
      <w:tblPr/>
      <w:tcPr>
        <w:tcBorders>
          <w:left w:val="nil"/>
        </w:tcBorders>
      </w:tcPr>
    </w:tblStylePr>
    <w:tblStylePr w:type="band1Vert">
      <w:tblPr/>
      <w:tcPr>
        <w:shd w:val="clear" w:color="auto" w:fill="CED9F0" w:themeFill="background1" w:themeFillShade="F2"/>
      </w:tcPr>
    </w:tblStylePr>
    <w:tblStylePr w:type="band1Horz">
      <w:tblPr/>
      <w:tcPr>
        <w:shd w:val="clear" w:color="auto" w:fill="CED9F0"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783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9F0" w:themeFill="background1" w:themeFillShade="F2"/>
      </w:tcPr>
    </w:tblStylePr>
    <w:tblStylePr w:type="band1Horz">
      <w:tblPr/>
      <w:tcPr>
        <w:shd w:val="clear" w:color="auto" w:fill="CED9F0" w:themeFill="background1" w:themeFillShade="F2"/>
      </w:tcPr>
    </w:tblStylePr>
  </w:style>
  <w:style w:type="character" w:customStyle="1" w:styleId="Heading2Char">
    <w:name w:val="Heading 2 Char"/>
    <w:basedOn w:val="DefaultParagraphFont"/>
    <w:link w:val="Heading2"/>
    <w:uiPriority w:val="9"/>
    <w:rsid w:val="00AB7525"/>
    <w:rPr>
      <w:rFonts w:ascii="Work Sans SemiBold" w:hAnsi="Work Sans SemiBold" w:cs="Calibri"/>
      <w:bCs/>
      <w:color w:val="1B598C" w:themeColor="text1"/>
      <w:sz w:val="28"/>
      <w:szCs w:val="36"/>
    </w:rPr>
  </w:style>
  <w:style w:type="character" w:customStyle="1" w:styleId="Heading3Char">
    <w:name w:val="Heading 3 Char"/>
    <w:basedOn w:val="DefaultParagraphFont"/>
    <w:link w:val="Heading3"/>
    <w:uiPriority w:val="9"/>
    <w:rsid w:val="00AB7525"/>
    <w:rPr>
      <w:rFonts w:ascii="Work Sans SemiBold" w:hAnsi="Work Sans SemiBold"/>
      <w:color w:val="2F3A48" w:themeColor="text2"/>
      <w:szCs w:val="28"/>
    </w:rPr>
  </w:style>
  <w:style w:type="paragraph" w:styleId="IntenseQuote">
    <w:name w:val="Intense Quote"/>
    <w:basedOn w:val="Normal"/>
    <w:next w:val="Normal"/>
    <w:link w:val="IntenseQuoteChar"/>
    <w:uiPriority w:val="30"/>
    <w:qFormat/>
    <w:rsid w:val="00D46920"/>
    <w:pPr>
      <w:pBdr>
        <w:top w:val="single" w:sz="4" w:space="10" w:color="54C6D3" w:themeColor="accent1"/>
        <w:bottom w:val="single" w:sz="4" w:space="10" w:color="54C6D3" w:themeColor="accent1"/>
      </w:pBdr>
      <w:spacing w:before="360" w:after="360"/>
      <w:ind w:left="864" w:right="864"/>
      <w:jc w:val="center"/>
    </w:pPr>
    <w:rPr>
      <w:i/>
      <w:iCs/>
      <w:color w:val="1B598C" w:themeColor="text1"/>
    </w:rPr>
  </w:style>
  <w:style w:type="paragraph" w:styleId="ListParagraph">
    <w:name w:val="List Paragraph"/>
    <w:basedOn w:val="Normal"/>
    <w:link w:val="ListParagraphChar"/>
    <w:uiPriority w:val="34"/>
    <w:qFormat/>
    <w:rsid w:val="00693E57"/>
    <w:pPr>
      <w:numPr>
        <w:numId w:val="10"/>
      </w:numPr>
    </w:pPr>
  </w:style>
  <w:style w:type="table" w:styleId="PlainTable5">
    <w:name w:val="Plain Table 5"/>
    <w:basedOn w:val="TableNormal"/>
    <w:uiPriority w:val="45"/>
    <w:rsid w:val="000E1B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EAEE3" w:themeColor="text1" w:themeTint="80"/>
        </w:tcBorders>
        <w:shd w:val="clear" w:color="auto" w:fill="E1E8F6" w:themeFill="background1"/>
      </w:tcPr>
    </w:tblStylePr>
    <w:tblStylePr w:type="lastRow">
      <w:rPr>
        <w:rFonts w:asciiTheme="majorHAnsi" w:eastAsiaTheme="majorEastAsia" w:hAnsiTheme="majorHAnsi" w:cstheme="majorBidi"/>
        <w:i/>
        <w:iCs/>
        <w:sz w:val="26"/>
      </w:rPr>
      <w:tblPr/>
      <w:tcPr>
        <w:tcBorders>
          <w:top w:val="single" w:sz="4" w:space="0" w:color="6EAEE3" w:themeColor="text1" w:themeTint="80"/>
        </w:tcBorders>
        <w:shd w:val="clear" w:color="auto" w:fill="E1E8F6"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AEE3" w:themeColor="text1" w:themeTint="80"/>
        </w:tcBorders>
        <w:shd w:val="clear" w:color="auto" w:fill="E1E8F6" w:themeFill="background1"/>
      </w:tcPr>
    </w:tblStylePr>
    <w:tblStylePr w:type="lastCol">
      <w:rPr>
        <w:rFonts w:asciiTheme="majorHAnsi" w:eastAsiaTheme="majorEastAsia" w:hAnsiTheme="majorHAnsi" w:cstheme="majorBidi"/>
        <w:i/>
        <w:iCs/>
        <w:sz w:val="26"/>
      </w:rPr>
      <w:tblPr/>
      <w:tcPr>
        <w:tcBorders>
          <w:left w:val="single" w:sz="4" w:space="0" w:color="6EAEE3" w:themeColor="text1" w:themeTint="80"/>
        </w:tcBorders>
        <w:shd w:val="clear" w:color="auto" w:fill="E1E8F6" w:themeFill="background1"/>
      </w:tcPr>
    </w:tblStylePr>
    <w:tblStylePr w:type="band1Vert">
      <w:tblPr/>
      <w:tcPr>
        <w:shd w:val="clear" w:color="auto" w:fill="CED9F0" w:themeFill="background1" w:themeFillShade="F2"/>
      </w:tcPr>
    </w:tblStylePr>
    <w:tblStylePr w:type="band1Horz">
      <w:tblPr/>
      <w:tcPr>
        <w:shd w:val="clear" w:color="auto" w:fill="CED9F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QuoteChar">
    <w:name w:val="Intense Quote Char"/>
    <w:basedOn w:val="DefaultParagraphFont"/>
    <w:link w:val="IntenseQuote"/>
    <w:uiPriority w:val="30"/>
    <w:rsid w:val="00D46920"/>
    <w:rPr>
      <w:rFonts w:ascii="Verdana" w:hAnsi="Verdana"/>
      <w:i/>
      <w:iCs/>
      <w:color w:val="1B598C" w:themeColor="text1"/>
    </w:rPr>
  </w:style>
  <w:style w:type="character" w:styleId="SubtleReference">
    <w:name w:val="Subtle Reference"/>
    <w:basedOn w:val="DefaultParagraphFont"/>
    <w:uiPriority w:val="31"/>
    <w:rsid w:val="00A259BB"/>
    <w:rPr>
      <w:smallCaps/>
      <w:color w:val="auto"/>
    </w:rPr>
  </w:style>
  <w:style w:type="character" w:styleId="IntenseReference">
    <w:name w:val="Intense Reference"/>
    <w:basedOn w:val="DefaultParagraphFont"/>
    <w:uiPriority w:val="32"/>
    <w:qFormat/>
    <w:rsid w:val="00A259BB"/>
    <w:rPr>
      <w:b/>
      <w:bCs/>
      <w:smallCaps/>
      <w:color w:val="auto"/>
      <w:spacing w:val="5"/>
    </w:rPr>
  </w:style>
  <w:style w:type="character" w:styleId="IntenseEmphasis">
    <w:name w:val="Intense Emphasis"/>
    <w:basedOn w:val="DefaultParagraphFont"/>
    <w:uiPriority w:val="21"/>
    <w:qFormat/>
    <w:rsid w:val="00D46920"/>
    <w:rPr>
      <w:b/>
      <w:i/>
      <w:iCs/>
      <w:color w:val="2F3A48" w:themeColor="text2"/>
    </w:rPr>
  </w:style>
  <w:style w:type="character" w:styleId="Emphasis">
    <w:name w:val="Emphasis"/>
    <w:basedOn w:val="DefaultParagraphFont"/>
    <w:uiPriority w:val="20"/>
    <w:qFormat/>
    <w:rsid w:val="00D46920"/>
    <w:rPr>
      <w:b/>
      <w:i/>
      <w:iCs/>
    </w:rPr>
  </w:style>
  <w:style w:type="numbering" w:customStyle="1" w:styleId="Style1">
    <w:name w:val="Style1"/>
    <w:basedOn w:val="NoList"/>
    <w:uiPriority w:val="99"/>
    <w:rsid w:val="00662E8F"/>
    <w:pPr>
      <w:numPr>
        <w:numId w:val="1"/>
      </w:numPr>
    </w:pPr>
  </w:style>
  <w:style w:type="numbering" w:customStyle="1" w:styleId="ABC">
    <w:name w:val="ABC"/>
    <w:basedOn w:val="NoList"/>
    <w:uiPriority w:val="99"/>
    <w:rsid w:val="00662E8F"/>
    <w:pPr>
      <w:numPr>
        <w:numId w:val="2"/>
      </w:numPr>
    </w:pPr>
  </w:style>
  <w:style w:type="table" w:customStyle="1" w:styleId="NACC">
    <w:name w:val="NACC"/>
    <w:basedOn w:val="TableNormal"/>
    <w:uiPriority w:val="99"/>
    <w:rsid w:val="00363121"/>
    <w:pPr>
      <w:spacing w:before="120" w:after="120" w:line="360" w:lineRule="auto"/>
      <w:ind w:left="227"/>
    </w:pPr>
    <w:tblPr>
      <w:tblStyleRowBandSize w:val="1"/>
      <w:tblBorders>
        <w:top w:val="single" w:sz="12" w:space="0" w:color="8DACC6"/>
        <w:left w:val="single" w:sz="12" w:space="0" w:color="8DACC6"/>
        <w:bottom w:val="single" w:sz="12" w:space="0" w:color="8DACC6"/>
        <w:right w:val="single" w:sz="12" w:space="0" w:color="8DACC6"/>
        <w:insideH w:val="single" w:sz="12" w:space="0" w:color="8DACC6"/>
        <w:insideV w:val="single" w:sz="12" w:space="0" w:color="8DACC6"/>
      </w:tblBorders>
      <w:tblCellMar>
        <w:top w:w="113" w:type="dxa"/>
        <w:bottom w:w="113" w:type="dxa"/>
      </w:tblCellMar>
    </w:tblPr>
    <w:tcPr>
      <w:shd w:val="clear" w:color="auto" w:fill="E1E8F6" w:themeFill="background1"/>
      <w:vAlign w:val="center"/>
    </w:tcPr>
    <w:tblStylePr w:type="firstRow">
      <w:pPr>
        <w:jc w:val="center"/>
      </w:pPr>
      <w:rPr>
        <w:rFonts w:asciiTheme="minorHAnsi" w:hAnsiTheme="minorHAnsi"/>
        <w:b/>
        <w:color w:val="2F3A48"/>
        <w:sz w:val="24"/>
      </w:rPr>
      <w:tblPr/>
      <w:tcPr>
        <w:shd w:val="clear" w:color="auto" w:fill="BBCDDD"/>
      </w:tcPr>
    </w:tblStylePr>
    <w:tblStylePr w:type="lastRow">
      <w:rPr>
        <w:b/>
      </w:rPr>
    </w:tblStylePr>
    <w:tblStylePr w:type="band1Horz">
      <w:tblPr/>
      <w:tcPr>
        <w:shd w:val="clear" w:color="auto" w:fill="E3E9EF"/>
      </w:tcPr>
    </w:tblStylePr>
  </w:style>
  <w:style w:type="paragraph" w:customStyle="1" w:styleId="Bullets">
    <w:name w:val="Bullets"/>
    <w:basedOn w:val="Normal"/>
    <w:uiPriority w:val="2"/>
    <w:qFormat/>
    <w:rsid w:val="004E55CA"/>
    <w:pPr>
      <w:numPr>
        <w:numId w:val="9"/>
      </w:numPr>
      <w:suppressAutoHyphens/>
      <w:ind w:left="993" w:hanging="426"/>
    </w:pPr>
    <w:rPr>
      <w:szCs w:val="20"/>
    </w:rPr>
  </w:style>
  <w:style w:type="paragraph" w:customStyle="1" w:styleId="Heading2nexttoicon">
    <w:name w:val="Heading 2 next to icon"/>
    <w:basedOn w:val="Heading2"/>
    <w:qFormat/>
    <w:rsid w:val="00CC4D49"/>
    <w:pPr>
      <w:spacing w:afterLines="250" w:after="250" w:line="180" w:lineRule="auto"/>
    </w:pPr>
  </w:style>
  <w:style w:type="character" w:styleId="Hyperlink">
    <w:name w:val="Hyperlink"/>
    <w:basedOn w:val="DefaultParagraphFont"/>
    <w:uiPriority w:val="99"/>
    <w:unhideWhenUsed/>
    <w:rsid w:val="00E70264"/>
    <w:rPr>
      <w:color w:val="0070C0"/>
      <w:u w:val="single"/>
    </w:rPr>
  </w:style>
  <w:style w:type="numbering" w:customStyle="1" w:styleId="DefaultBullets">
    <w:name w:val="Default Bullets"/>
    <w:uiPriority w:val="99"/>
    <w:rsid w:val="00E70264"/>
    <w:pPr>
      <w:numPr>
        <w:numId w:val="3"/>
      </w:numPr>
    </w:pPr>
  </w:style>
  <w:style w:type="character" w:styleId="FollowedHyperlink">
    <w:name w:val="FollowedHyperlink"/>
    <w:basedOn w:val="DefaultParagraphFont"/>
    <w:uiPriority w:val="99"/>
    <w:semiHidden/>
    <w:unhideWhenUsed/>
    <w:rsid w:val="000D12F5"/>
    <w:rPr>
      <w:color w:val="954F72" w:themeColor="followedHyperlink"/>
      <w:u w:val="single"/>
    </w:rPr>
  </w:style>
  <w:style w:type="character" w:customStyle="1" w:styleId="Heading4Char">
    <w:name w:val="Heading 4 Char"/>
    <w:basedOn w:val="DefaultParagraphFont"/>
    <w:link w:val="Heading4"/>
    <w:uiPriority w:val="9"/>
    <w:rsid w:val="001E5E80"/>
    <w:rPr>
      <w:b/>
      <w:color w:val="2F3A48" w:themeColor="text2"/>
    </w:rPr>
  </w:style>
  <w:style w:type="paragraph" w:customStyle="1" w:styleId="IndentBullet1">
    <w:name w:val="Indent Bullet 1"/>
    <w:basedOn w:val="Normal"/>
    <w:uiPriority w:val="4"/>
    <w:qFormat/>
    <w:rsid w:val="002912A6"/>
    <w:pPr>
      <w:numPr>
        <w:numId w:val="4"/>
      </w:numPr>
      <w:suppressAutoHyphens/>
      <w:ind w:left="924" w:hanging="357"/>
    </w:pPr>
    <w:rPr>
      <w:rFonts w:asciiTheme="minorHAnsi" w:hAnsiTheme="minorHAnsi"/>
      <w:szCs w:val="20"/>
    </w:rPr>
  </w:style>
  <w:style w:type="paragraph" w:customStyle="1" w:styleId="IndentBullet2">
    <w:name w:val="Indent Bullet 2"/>
    <w:basedOn w:val="IndentBullet1"/>
    <w:uiPriority w:val="4"/>
    <w:rsid w:val="009D7A3C"/>
    <w:pPr>
      <w:numPr>
        <w:ilvl w:val="1"/>
      </w:numPr>
    </w:pPr>
  </w:style>
  <w:style w:type="paragraph" w:customStyle="1" w:styleId="IndentList1Alpha">
    <w:name w:val="Indent List 1 Alpha"/>
    <w:basedOn w:val="IndentBullet2"/>
    <w:uiPriority w:val="4"/>
    <w:rsid w:val="009D7A3C"/>
    <w:pPr>
      <w:numPr>
        <w:ilvl w:val="2"/>
      </w:numPr>
    </w:pPr>
  </w:style>
  <w:style w:type="character" w:customStyle="1" w:styleId="Heading7Char">
    <w:name w:val="Heading 7 Char"/>
    <w:basedOn w:val="DefaultParagraphFont"/>
    <w:link w:val="Heading7"/>
    <w:uiPriority w:val="9"/>
    <w:semiHidden/>
    <w:rsid w:val="001E5E80"/>
    <w:rPr>
      <w:rFonts w:asciiTheme="majorHAnsi" w:eastAsiaTheme="majorEastAsia" w:hAnsiTheme="majorHAnsi" w:cstheme="majorBidi"/>
      <w:i/>
      <w:iCs/>
      <w:color w:val="2F3A48" w:themeColor="text2"/>
    </w:rPr>
  </w:style>
  <w:style w:type="paragraph" w:customStyle="1" w:styleId="IndentList2Roman">
    <w:name w:val="Indent List 2 Roman"/>
    <w:basedOn w:val="IndentList1Alpha"/>
    <w:uiPriority w:val="4"/>
    <w:rsid w:val="00D46920"/>
    <w:pPr>
      <w:numPr>
        <w:ilvl w:val="3"/>
      </w:numPr>
    </w:pPr>
  </w:style>
  <w:style w:type="numbering" w:customStyle="1" w:styleId="IndentLists">
    <w:name w:val="Indent Lists"/>
    <w:uiPriority w:val="99"/>
    <w:rsid w:val="009D7A3C"/>
    <w:pPr>
      <w:numPr>
        <w:numId w:val="13"/>
      </w:numPr>
    </w:pPr>
  </w:style>
  <w:style w:type="character" w:styleId="EndnoteReference">
    <w:name w:val="endnote reference"/>
    <w:basedOn w:val="DefaultParagraphFont"/>
    <w:uiPriority w:val="99"/>
    <w:unhideWhenUsed/>
    <w:rsid w:val="009D7A3C"/>
    <w:rPr>
      <w:vertAlign w:val="superscript"/>
    </w:rPr>
  </w:style>
  <w:style w:type="paragraph" w:styleId="EndnoteText">
    <w:name w:val="endnote text"/>
    <w:basedOn w:val="Normal"/>
    <w:link w:val="EndnoteTextChar"/>
    <w:uiPriority w:val="99"/>
    <w:unhideWhenUsed/>
    <w:rsid w:val="00501569"/>
    <w:pPr>
      <w:spacing w:after="0" w:line="240" w:lineRule="auto"/>
    </w:pPr>
    <w:rPr>
      <w:szCs w:val="20"/>
    </w:rPr>
  </w:style>
  <w:style w:type="character" w:customStyle="1" w:styleId="EndnoteTextChar">
    <w:name w:val="Endnote Text Char"/>
    <w:basedOn w:val="DefaultParagraphFont"/>
    <w:link w:val="EndnoteText"/>
    <w:uiPriority w:val="99"/>
    <w:rsid w:val="00501569"/>
    <w:rPr>
      <w:rFonts w:ascii="Campaign Regular" w:hAnsi="Campaign Regular"/>
      <w:sz w:val="20"/>
      <w:szCs w:val="20"/>
    </w:rPr>
  </w:style>
  <w:style w:type="paragraph" w:styleId="FootnoteText">
    <w:name w:val="footnote text"/>
    <w:basedOn w:val="Normal"/>
    <w:link w:val="FootnoteTextChar"/>
    <w:autoRedefine/>
    <w:uiPriority w:val="99"/>
    <w:unhideWhenUsed/>
    <w:qFormat/>
    <w:rsid w:val="00353575"/>
    <w:pPr>
      <w:spacing w:before="0" w:after="0" w:line="160" w:lineRule="atLeast"/>
      <w:ind w:left="284" w:hanging="284"/>
    </w:pPr>
    <w:rPr>
      <w:color w:val="2F3A48"/>
      <w:kern w:val="2"/>
      <w:sz w:val="14"/>
      <w:szCs w:val="20"/>
      <w:lang w:val="en-GB"/>
      <w14:ligatures w14:val="standardContextual"/>
    </w:rPr>
  </w:style>
  <w:style w:type="character" w:customStyle="1" w:styleId="FootnoteTextChar">
    <w:name w:val="Footnote Text Char"/>
    <w:basedOn w:val="DefaultParagraphFont"/>
    <w:link w:val="FootnoteText"/>
    <w:uiPriority w:val="99"/>
    <w:rsid w:val="00353575"/>
    <w:rPr>
      <w:rFonts w:ascii="Work Sans" w:hAnsi="Work Sans"/>
      <w:color w:val="2F3A48"/>
      <w:kern w:val="2"/>
      <w:sz w:val="14"/>
      <w:szCs w:val="20"/>
      <w:lang w:val="en-GB"/>
      <w14:ligatures w14:val="standardContextual"/>
    </w:rPr>
  </w:style>
  <w:style w:type="character" w:styleId="FootnoteReference">
    <w:name w:val="footnote reference"/>
    <w:basedOn w:val="DefaultParagraphFont"/>
    <w:uiPriority w:val="99"/>
    <w:unhideWhenUsed/>
    <w:rsid w:val="00353575"/>
    <w:rPr>
      <w:rFonts w:ascii="Work Sans" w:hAnsi="Work Sans"/>
      <w:vertAlign w:val="superscript"/>
    </w:rPr>
  </w:style>
  <w:style w:type="numbering" w:customStyle="1" w:styleId="List1Numbered">
    <w:name w:val="List 1 Numbered"/>
    <w:uiPriority w:val="99"/>
    <w:rsid w:val="00501569"/>
    <w:pPr>
      <w:numPr>
        <w:numId w:val="5"/>
      </w:numPr>
    </w:pPr>
  </w:style>
  <w:style w:type="paragraph" w:customStyle="1" w:styleId="List1Numbered1">
    <w:name w:val="List 1 Numbered 1"/>
    <w:basedOn w:val="Normal"/>
    <w:uiPriority w:val="2"/>
    <w:qFormat/>
    <w:rsid w:val="00D77FB4"/>
    <w:pPr>
      <w:numPr>
        <w:numId w:val="6"/>
      </w:numPr>
      <w:suppressAutoHyphens/>
    </w:pPr>
    <w:rPr>
      <w:rFonts w:asciiTheme="minorHAnsi" w:hAnsiTheme="minorHAnsi"/>
      <w:szCs w:val="20"/>
    </w:rPr>
  </w:style>
  <w:style w:type="paragraph" w:customStyle="1" w:styleId="List1Numbered2">
    <w:name w:val="List 1 Numbered 2"/>
    <w:basedOn w:val="Normal"/>
    <w:uiPriority w:val="2"/>
    <w:rsid w:val="004276B2"/>
    <w:pPr>
      <w:numPr>
        <w:ilvl w:val="1"/>
        <w:numId w:val="6"/>
      </w:numPr>
      <w:suppressAutoHyphens/>
    </w:pPr>
    <w:rPr>
      <w:rFonts w:asciiTheme="minorHAnsi" w:hAnsiTheme="minorHAnsi"/>
      <w:szCs w:val="20"/>
    </w:rPr>
  </w:style>
  <w:style w:type="paragraph" w:customStyle="1" w:styleId="List1Numbered3">
    <w:name w:val="List 1 Numbered 3"/>
    <w:basedOn w:val="Normal"/>
    <w:uiPriority w:val="2"/>
    <w:rsid w:val="00D46920"/>
    <w:pPr>
      <w:numPr>
        <w:ilvl w:val="2"/>
        <w:numId w:val="6"/>
      </w:numPr>
      <w:suppressAutoHyphens/>
      <w:spacing w:line="260" w:lineRule="atLeast"/>
    </w:pPr>
    <w:rPr>
      <w:rFonts w:asciiTheme="minorHAnsi" w:hAnsiTheme="minorHAnsi"/>
      <w:szCs w:val="20"/>
    </w:rPr>
  </w:style>
  <w:style w:type="numbering" w:customStyle="1" w:styleId="TableNumbers">
    <w:name w:val="Table Numbers"/>
    <w:uiPriority w:val="99"/>
    <w:rsid w:val="001D1352"/>
    <w:pPr>
      <w:numPr>
        <w:numId w:val="7"/>
      </w:numPr>
    </w:pPr>
  </w:style>
  <w:style w:type="character" w:styleId="SubtleEmphasis">
    <w:name w:val="Subtle Emphasis"/>
    <w:basedOn w:val="DefaultParagraphFont"/>
    <w:uiPriority w:val="19"/>
    <w:rsid w:val="00A259BB"/>
    <w:rPr>
      <w:i/>
      <w:iCs/>
      <w:color w:val="1B598C" w:themeColor="text1"/>
    </w:rPr>
  </w:style>
  <w:style w:type="character" w:styleId="UnresolvedMention">
    <w:name w:val="Unresolved Mention"/>
    <w:basedOn w:val="DefaultParagraphFont"/>
    <w:uiPriority w:val="99"/>
    <w:semiHidden/>
    <w:unhideWhenUsed/>
    <w:rsid w:val="002F758C"/>
    <w:rPr>
      <w:color w:val="605E5C"/>
      <w:shd w:val="clear" w:color="auto" w:fill="E1DFDD"/>
    </w:rPr>
  </w:style>
  <w:style w:type="paragraph" w:styleId="TOCHeading">
    <w:name w:val="TOC Heading"/>
    <w:basedOn w:val="Heading1"/>
    <w:next w:val="Normal"/>
    <w:uiPriority w:val="39"/>
    <w:unhideWhenUsed/>
    <w:qFormat/>
    <w:rsid w:val="008826D9"/>
    <w:pPr>
      <w:spacing w:line="276" w:lineRule="auto"/>
      <w:outlineLvl w:val="9"/>
    </w:pPr>
    <w:rPr>
      <w:rFonts w:asciiTheme="majorHAnsi" w:hAnsiTheme="majorHAnsi"/>
      <w:lang w:val="en-US"/>
    </w:rPr>
  </w:style>
  <w:style w:type="paragraph" w:styleId="TOC1">
    <w:name w:val="toc 1"/>
    <w:basedOn w:val="Normal"/>
    <w:next w:val="Normal"/>
    <w:autoRedefine/>
    <w:uiPriority w:val="39"/>
    <w:unhideWhenUsed/>
    <w:rsid w:val="00016CA7"/>
    <w:pPr>
      <w:tabs>
        <w:tab w:val="right" w:pos="8931"/>
      </w:tabs>
      <w:contextualSpacing/>
    </w:pPr>
    <w:rPr>
      <w:rFonts w:ascii="Work Sans SemiBold" w:hAnsi="Work Sans SemiBold" w:cstheme="minorHAnsi"/>
      <w:noProof/>
      <w:color w:val="1B598C" w:themeColor="text1"/>
      <w:sz w:val="28"/>
      <w:szCs w:val="32"/>
    </w:rPr>
  </w:style>
  <w:style w:type="paragraph" w:styleId="TOC2">
    <w:name w:val="toc 2"/>
    <w:basedOn w:val="Normal"/>
    <w:next w:val="Normal"/>
    <w:uiPriority w:val="39"/>
    <w:unhideWhenUsed/>
    <w:rsid w:val="00016CA7"/>
    <w:pPr>
      <w:tabs>
        <w:tab w:val="right" w:pos="8931"/>
      </w:tabs>
      <w:spacing w:before="360"/>
      <w:contextualSpacing/>
    </w:pPr>
    <w:rPr>
      <w:rFonts w:ascii="Work Sans SemiBold" w:hAnsi="Work Sans SemiBold" w:cstheme="minorHAnsi"/>
      <w:noProof/>
      <w:szCs w:val="28"/>
    </w:rPr>
  </w:style>
  <w:style w:type="paragraph" w:styleId="TOC3">
    <w:name w:val="toc 3"/>
    <w:basedOn w:val="Normal"/>
    <w:next w:val="Normal"/>
    <w:autoRedefine/>
    <w:uiPriority w:val="39"/>
    <w:unhideWhenUsed/>
    <w:rsid w:val="001243F5"/>
    <w:pPr>
      <w:tabs>
        <w:tab w:val="right" w:pos="8931"/>
      </w:tabs>
      <w:contextualSpacing/>
    </w:pPr>
    <w:rPr>
      <w:rFonts w:cstheme="minorHAnsi"/>
      <w:iCs/>
      <w:noProof/>
      <w:szCs w:val="20"/>
    </w:rPr>
  </w:style>
  <w:style w:type="paragraph" w:styleId="TOC4">
    <w:name w:val="toc 4"/>
    <w:basedOn w:val="Normal"/>
    <w:next w:val="Normal"/>
    <w:autoRedefine/>
    <w:uiPriority w:val="39"/>
    <w:semiHidden/>
    <w:unhideWhenUsed/>
    <w:rsid w:val="005D2BCE"/>
    <w:pPr>
      <w:spacing w:after="0"/>
      <w:ind w:left="480"/>
    </w:pPr>
    <w:rPr>
      <w:rFonts w:asciiTheme="minorHAnsi" w:hAnsiTheme="minorHAnsi" w:cstheme="minorHAnsi"/>
      <w:szCs w:val="18"/>
    </w:rPr>
  </w:style>
  <w:style w:type="paragraph" w:styleId="TOC5">
    <w:name w:val="toc 5"/>
    <w:basedOn w:val="Normal"/>
    <w:next w:val="Normal"/>
    <w:autoRedefine/>
    <w:uiPriority w:val="39"/>
    <w:semiHidden/>
    <w:unhideWhenUsed/>
    <w:rsid w:val="005D2BCE"/>
    <w:pPr>
      <w:spacing w:after="0"/>
      <w:ind w:left="640"/>
    </w:pPr>
    <w:rPr>
      <w:rFonts w:asciiTheme="minorHAnsi" w:hAnsiTheme="minorHAnsi" w:cstheme="minorHAnsi"/>
      <w:szCs w:val="18"/>
    </w:rPr>
  </w:style>
  <w:style w:type="paragraph" w:styleId="TOC6">
    <w:name w:val="toc 6"/>
    <w:basedOn w:val="Normal"/>
    <w:next w:val="Normal"/>
    <w:autoRedefine/>
    <w:uiPriority w:val="39"/>
    <w:semiHidden/>
    <w:unhideWhenUsed/>
    <w:rsid w:val="005D2BCE"/>
    <w:pPr>
      <w:spacing w:after="0"/>
      <w:ind w:left="800"/>
    </w:pPr>
    <w:rPr>
      <w:rFonts w:asciiTheme="minorHAnsi" w:hAnsiTheme="minorHAnsi" w:cstheme="minorHAnsi"/>
      <w:szCs w:val="18"/>
    </w:rPr>
  </w:style>
  <w:style w:type="paragraph" w:styleId="TOC7">
    <w:name w:val="toc 7"/>
    <w:basedOn w:val="Normal"/>
    <w:next w:val="Normal"/>
    <w:autoRedefine/>
    <w:uiPriority w:val="39"/>
    <w:semiHidden/>
    <w:unhideWhenUsed/>
    <w:rsid w:val="005D2BCE"/>
    <w:pPr>
      <w:spacing w:after="0"/>
      <w:ind w:left="960"/>
    </w:pPr>
    <w:rPr>
      <w:rFonts w:asciiTheme="minorHAnsi" w:hAnsiTheme="minorHAnsi" w:cstheme="minorHAnsi"/>
      <w:szCs w:val="18"/>
    </w:rPr>
  </w:style>
  <w:style w:type="paragraph" w:styleId="TOC8">
    <w:name w:val="toc 8"/>
    <w:basedOn w:val="Normal"/>
    <w:next w:val="Normal"/>
    <w:autoRedefine/>
    <w:uiPriority w:val="39"/>
    <w:semiHidden/>
    <w:unhideWhenUsed/>
    <w:rsid w:val="005D2BCE"/>
    <w:pPr>
      <w:spacing w:after="0"/>
      <w:ind w:left="1120"/>
    </w:pPr>
    <w:rPr>
      <w:rFonts w:asciiTheme="minorHAnsi" w:hAnsiTheme="minorHAnsi" w:cstheme="minorHAnsi"/>
      <w:szCs w:val="18"/>
    </w:rPr>
  </w:style>
  <w:style w:type="paragraph" w:styleId="TOC9">
    <w:name w:val="toc 9"/>
    <w:basedOn w:val="Normal"/>
    <w:next w:val="Normal"/>
    <w:autoRedefine/>
    <w:uiPriority w:val="39"/>
    <w:semiHidden/>
    <w:unhideWhenUsed/>
    <w:rsid w:val="005D2BCE"/>
    <w:pPr>
      <w:spacing w:after="0"/>
      <w:ind w:left="1280"/>
    </w:pPr>
    <w:rPr>
      <w:rFonts w:asciiTheme="minorHAnsi" w:hAnsiTheme="minorHAnsi" w:cstheme="minorHAnsi"/>
      <w:szCs w:val="18"/>
    </w:rPr>
  </w:style>
  <w:style w:type="character" w:styleId="CommentReference">
    <w:name w:val="annotation reference"/>
    <w:basedOn w:val="DefaultParagraphFont"/>
    <w:uiPriority w:val="99"/>
    <w:semiHidden/>
    <w:unhideWhenUsed/>
    <w:rsid w:val="007F6115"/>
    <w:rPr>
      <w:sz w:val="16"/>
      <w:szCs w:val="16"/>
    </w:rPr>
  </w:style>
  <w:style w:type="paragraph" w:styleId="CommentText">
    <w:name w:val="annotation text"/>
    <w:basedOn w:val="Normal"/>
    <w:link w:val="CommentTextChar"/>
    <w:uiPriority w:val="99"/>
    <w:unhideWhenUsed/>
    <w:rsid w:val="007F6115"/>
    <w:pPr>
      <w:spacing w:line="240" w:lineRule="auto"/>
    </w:pPr>
    <w:rPr>
      <w:szCs w:val="20"/>
    </w:rPr>
  </w:style>
  <w:style w:type="character" w:customStyle="1" w:styleId="CommentTextChar">
    <w:name w:val="Comment Text Char"/>
    <w:basedOn w:val="DefaultParagraphFont"/>
    <w:link w:val="CommentText"/>
    <w:uiPriority w:val="99"/>
    <w:rsid w:val="007F61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F6115"/>
    <w:rPr>
      <w:b/>
      <w:bCs/>
    </w:rPr>
  </w:style>
  <w:style w:type="character" w:customStyle="1" w:styleId="CommentSubjectChar">
    <w:name w:val="Comment Subject Char"/>
    <w:basedOn w:val="CommentTextChar"/>
    <w:link w:val="CommentSubject"/>
    <w:uiPriority w:val="99"/>
    <w:semiHidden/>
    <w:rsid w:val="007F6115"/>
    <w:rPr>
      <w:rFonts w:ascii="Verdana" w:hAnsi="Verdana"/>
      <w:b/>
      <w:bCs/>
      <w:sz w:val="20"/>
      <w:szCs w:val="20"/>
    </w:rPr>
  </w:style>
  <w:style w:type="numbering" w:customStyle="1" w:styleId="FigureNumbers">
    <w:name w:val="Figure Numbers"/>
    <w:uiPriority w:val="99"/>
    <w:rsid w:val="00FD4A71"/>
    <w:pPr>
      <w:numPr>
        <w:numId w:val="8"/>
      </w:numPr>
    </w:pPr>
  </w:style>
  <w:style w:type="paragraph" w:styleId="Subtitle">
    <w:name w:val="Subtitle"/>
    <w:basedOn w:val="Normal"/>
    <w:next w:val="Normal"/>
    <w:link w:val="SubtitleChar"/>
    <w:uiPriority w:val="11"/>
    <w:rsid w:val="00A259BB"/>
    <w:pPr>
      <w:numPr>
        <w:ilvl w:val="1"/>
      </w:numPr>
    </w:pPr>
    <w:rPr>
      <w:rFonts w:asciiTheme="minorHAnsi" w:eastAsiaTheme="minorEastAsia" w:hAnsiTheme="minorHAnsi"/>
      <w:spacing w:val="15"/>
      <w:sz w:val="22"/>
      <w:szCs w:val="22"/>
    </w:rPr>
  </w:style>
  <w:style w:type="paragraph" w:styleId="BalloonText">
    <w:name w:val="Balloon Text"/>
    <w:basedOn w:val="Normal"/>
    <w:link w:val="BalloonTextChar"/>
    <w:uiPriority w:val="99"/>
    <w:semiHidden/>
    <w:unhideWhenUsed/>
    <w:rsid w:val="00674FD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FDE"/>
    <w:rPr>
      <w:rFonts w:ascii="Segoe UI" w:hAnsi="Segoe UI" w:cs="Segoe UI"/>
      <w:sz w:val="18"/>
      <w:szCs w:val="18"/>
    </w:rPr>
  </w:style>
  <w:style w:type="character" w:customStyle="1" w:styleId="Heading5Char">
    <w:name w:val="Heading 5 Char"/>
    <w:basedOn w:val="DefaultParagraphFont"/>
    <w:link w:val="Heading5"/>
    <w:uiPriority w:val="9"/>
    <w:rsid w:val="003A5708"/>
    <w:rPr>
      <w:b/>
      <w:color w:val="2F3A48" w:themeColor="text2"/>
      <w:lang w:val="en-GB"/>
    </w:rPr>
  </w:style>
  <w:style w:type="character" w:customStyle="1" w:styleId="Heading6Char">
    <w:name w:val="Heading 6 Char"/>
    <w:basedOn w:val="DefaultParagraphFont"/>
    <w:link w:val="Heading6"/>
    <w:uiPriority w:val="9"/>
    <w:rsid w:val="001E5E80"/>
    <w:rPr>
      <w:rFonts w:asciiTheme="majorHAnsi" w:eastAsiaTheme="majorEastAsia" w:hAnsiTheme="majorHAnsi" w:cstheme="majorBidi"/>
      <w:color w:val="2F3A48" w:themeColor="text2"/>
    </w:rPr>
  </w:style>
  <w:style w:type="paragraph" w:styleId="Revision">
    <w:name w:val="Revision"/>
    <w:hidden/>
    <w:uiPriority w:val="99"/>
    <w:semiHidden/>
    <w:rsid w:val="00034C98"/>
    <w:rPr>
      <w:rFonts w:ascii="Verdana" w:hAnsi="Verdana"/>
    </w:rPr>
  </w:style>
  <w:style w:type="character" w:customStyle="1" w:styleId="SubtitleChar">
    <w:name w:val="Subtitle Char"/>
    <w:basedOn w:val="DefaultParagraphFont"/>
    <w:link w:val="Subtitle"/>
    <w:uiPriority w:val="11"/>
    <w:rsid w:val="00A259BB"/>
    <w:rPr>
      <w:rFonts w:eastAsiaTheme="minorEastAsia"/>
      <w:spacing w:val="15"/>
      <w:sz w:val="22"/>
      <w:szCs w:val="22"/>
    </w:rPr>
  </w:style>
  <w:style w:type="paragraph" w:styleId="Quote">
    <w:name w:val="Quote"/>
    <w:basedOn w:val="Normal"/>
    <w:next w:val="Normal"/>
    <w:link w:val="QuoteChar"/>
    <w:uiPriority w:val="29"/>
    <w:qFormat/>
    <w:rsid w:val="00A32F4C"/>
    <w:pPr>
      <w:spacing w:before="200"/>
      <w:ind w:left="864" w:right="864"/>
      <w:jc w:val="center"/>
    </w:pPr>
    <w:rPr>
      <w:i/>
      <w:iCs/>
      <w:color w:val="19B1C3" w:themeColor="accent2"/>
    </w:rPr>
  </w:style>
  <w:style w:type="character" w:customStyle="1" w:styleId="QuoteChar">
    <w:name w:val="Quote Char"/>
    <w:basedOn w:val="DefaultParagraphFont"/>
    <w:link w:val="Quote"/>
    <w:uiPriority w:val="29"/>
    <w:rsid w:val="00A32F4C"/>
    <w:rPr>
      <w:rFonts w:ascii="Verdana" w:hAnsi="Verdana"/>
      <w:i/>
      <w:iCs/>
      <w:color w:val="19B1C3" w:themeColor="accent2"/>
    </w:rPr>
  </w:style>
  <w:style w:type="paragraph" w:styleId="NoSpacing">
    <w:name w:val="No Spacing"/>
    <w:uiPriority w:val="1"/>
    <w:rsid w:val="00015D89"/>
    <w:rPr>
      <w:rFonts w:ascii="Verdana" w:hAnsi="Verdana"/>
    </w:rPr>
  </w:style>
  <w:style w:type="paragraph" w:customStyle="1" w:styleId="Heading1Numbered">
    <w:name w:val="Heading 1 Numbered"/>
    <w:basedOn w:val="Heading1"/>
    <w:uiPriority w:val="10"/>
    <w:qFormat/>
    <w:rsid w:val="00372F91"/>
    <w:pPr>
      <w:keepNext/>
      <w:keepLines/>
      <w:numPr>
        <w:numId w:val="11"/>
      </w:numPr>
      <w:suppressAutoHyphens/>
      <w:spacing w:before="480" w:after="300" w:line="480" w:lineRule="atLeast"/>
      <w:contextualSpacing/>
    </w:pPr>
    <w:rPr>
      <w:rFonts w:eastAsiaTheme="majorEastAsia" w:cstheme="majorBidi"/>
      <w:bCs w:val="0"/>
      <w:szCs w:val="32"/>
    </w:rPr>
  </w:style>
  <w:style w:type="paragraph" w:customStyle="1" w:styleId="Heading2Numbered">
    <w:name w:val="Heading 2 Numbered"/>
    <w:basedOn w:val="Heading2"/>
    <w:uiPriority w:val="10"/>
    <w:qFormat/>
    <w:rsid w:val="00372F91"/>
    <w:pPr>
      <w:keepNext/>
      <w:keepLines/>
      <w:numPr>
        <w:ilvl w:val="1"/>
        <w:numId w:val="11"/>
      </w:numPr>
      <w:suppressAutoHyphens/>
      <w:autoSpaceDE/>
      <w:autoSpaceDN/>
      <w:adjustRightInd/>
      <w:spacing w:beforeLines="0" w:before="360" w:afterLines="0" w:after="120" w:line="320" w:lineRule="atLeast"/>
      <w:contextualSpacing/>
    </w:pPr>
    <w:rPr>
      <w:rFonts w:eastAsiaTheme="majorEastAsia" w:cstheme="majorBidi"/>
      <w:bCs w:val="0"/>
      <w:szCs w:val="26"/>
    </w:rPr>
  </w:style>
  <w:style w:type="paragraph" w:customStyle="1" w:styleId="Heading3Numbered">
    <w:name w:val="Heading 3 Numbered"/>
    <w:basedOn w:val="Heading3"/>
    <w:uiPriority w:val="10"/>
    <w:qFormat/>
    <w:rsid w:val="00372F91"/>
    <w:pPr>
      <w:keepLines/>
      <w:numPr>
        <w:ilvl w:val="2"/>
        <w:numId w:val="11"/>
      </w:numPr>
      <w:suppressAutoHyphens/>
      <w:autoSpaceDE/>
      <w:autoSpaceDN/>
      <w:adjustRightInd/>
      <w:spacing w:beforeLines="0" w:before="240" w:afterLines="0" w:after="120" w:line="260" w:lineRule="atLeast"/>
    </w:pPr>
    <w:rPr>
      <w:rFonts w:eastAsiaTheme="majorEastAsia" w:cstheme="majorBidi"/>
      <w:szCs w:val="24"/>
    </w:rPr>
  </w:style>
  <w:style w:type="paragraph" w:customStyle="1" w:styleId="FootnoteTextStyle">
    <w:name w:val="Footnote Text Style"/>
    <w:basedOn w:val="FootnoteText"/>
    <w:qFormat/>
    <w:rsid w:val="00154B80"/>
    <w:pPr>
      <w:suppressAutoHyphens/>
    </w:pPr>
    <w:rPr>
      <w:rFonts w:asciiTheme="minorHAnsi" w:hAnsiTheme="minorHAnsi"/>
      <w:szCs w:val="24"/>
    </w:rPr>
  </w:style>
  <w:style w:type="paragraph" w:customStyle="1" w:styleId="Default">
    <w:name w:val="Default"/>
    <w:rsid w:val="001A67E8"/>
    <w:pPr>
      <w:autoSpaceDE w:val="0"/>
      <w:autoSpaceDN w:val="0"/>
      <w:adjustRightInd w:val="0"/>
    </w:pPr>
    <w:rPr>
      <w:rFonts w:ascii="Work Sans" w:hAnsi="Work Sans" w:cs="Work Sans"/>
      <w:color w:val="000000"/>
    </w:rPr>
  </w:style>
  <w:style w:type="paragraph" w:customStyle="1" w:styleId="Pa3">
    <w:name w:val="Pa3"/>
    <w:basedOn w:val="Default"/>
    <w:next w:val="Default"/>
    <w:uiPriority w:val="99"/>
    <w:rsid w:val="001A67E8"/>
    <w:pPr>
      <w:spacing w:line="201" w:lineRule="atLeast"/>
    </w:pPr>
    <w:rPr>
      <w:rFonts w:cstheme="minorBidi"/>
      <w:color w:val="auto"/>
    </w:rPr>
  </w:style>
  <w:style w:type="character" w:customStyle="1" w:styleId="A4">
    <w:name w:val="A4"/>
    <w:uiPriority w:val="99"/>
    <w:rsid w:val="001A67E8"/>
    <w:rPr>
      <w:rFonts w:cs="Work Sans"/>
      <w:color w:val="255B9D"/>
      <w:sz w:val="20"/>
      <w:szCs w:val="20"/>
      <w:u w:val="single"/>
    </w:rPr>
  </w:style>
  <w:style w:type="paragraph" w:customStyle="1" w:styleId="Pa2">
    <w:name w:val="Pa2"/>
    <w:basedOn w:val="Default"/>
    <w:next w:val="Default"/>
    <w:uiPriority w:val="99"/>
    <w:rsid w:val="001A67E8"/>
    <w:pPr>
      <w:spacing w:line="221" w:lineRule="atLeast"/>
    </w:pPr>
    <w:rPr>
      <w:rFonts w:cstheme="minorBidi"/>
      <w:color w:val="auto"/>
    </w:rPr>
  </w:style>
  <w:style w:type="paragraph" w:customStyle="1" w:styleId="Bullet1">
    <w:name w:val="Bullet 1"/>
    <w:basedOn w:val="Normal"/>
    <w:uiPriority w:val="2"/>
    <w:qFormat/>
    <w:rsid w:val="00671E4B"/>
    <w:pPr>
      <w:numPr>
        <w:numId w:val="12"/>
      </w:numPr>
      <w:suppressAutoHyphens/>
      <w:ind w:left="924" w:hanging="357"/>
    </w:pPr>
    <w:rPr>
      <w:rFonts w:asciiTheme="minorHAnsi" w:hAnsiTheme="minorHAnsi"/>
      <w:szCs w:val="20"/>
    </w:rPr>
  </w:style>
  <w:style w:type="paragraph" w:customStyle="1" w:styleId="Bullet2">
    <w:name w:val="Bullet 2"/>
    <w:basedOn w:val="Normal"/>
    <w:uiPriority w:val="2"/>
    <w:rsid w:val="00154B80"/>
    <w:pPr>
      <w:numPr>
        <w:ilvl w:val="1"/>
        <w:numId w:val="12"/>
      </w:numPr>
      <w:suppressAutoHyphens/>
    </w:pPr>
    <w:rPr>
      <w:rFonts w:asciiTheme="minorHAnsi" w:hAnsiTheme="minorHAnsi"/>
      <w:sz w:val="20"/>
      <w:szCs w:val="20"/>
    </w:rPr>
  </w:style>
  <w:style w:type="paragraph" w:customStyle="1" w:styleId="Bullet3">
    <w:name w:val="Bullet 3"/>
    <w:basedOn w:val="Normal"/>
    <w:uiPriority w:val="2"/>
    <w:rsid w:val="00154B80"/>
    <w:pPr>
      <w:numPr>
        <w:ilvl w:val="2"/>
        <w:numId w:val="12"/>
      </w:numPr>
      <w:suppressAutoHyphens/>
    </w:pPr>
    <w:rPr>
      <w:rFonts w:asciiTheme="minorHAnsi" w:hAnsiTheme="minorHAnsi"/>
      <w:sz w:val="20"/>
      <w:szCs w:val="20"/>
    </w:rPr>
  </w:style>
  <w:style w:type="character" w:customStyle="1" w:styleId="ListParagraphChar">
    <w:name w:val="List Paragraph Char"/>
    <w:basedOn w:val="DefaultParagraphFont"/>
    <w:link w:val="ListParagraph"/>
    <w:uiPriority w:val="34"/>
    <w:locked/>
    <w:rsid w:val="00F30B00"/>
    <w:rPr>
      <w:rFonts w:ascii="Work Sans" w:hAnsi="Work Sans"/>
      <w:color w:val="2F3A48" w:themeColor="text2"/>
    </w:rPr>
  </w:style>
  <w:style w:type="table" w:styleId="ListTable3-Accent2">
    <w:name w:val="List Table 3 Accent 2"/>
    <w:basedOn w:val="TableNormal"/>
    <w:uiPriority w:val="48"/>
    <w:rsid w:val="00F30B00"/>
    <w:rPr>
      <w:rFonts w:eastAsiaTheme="minorEastAsia"/>
    </w:rPr>
    <w:tblPr>
      <w:tblStyleRowBandSize w:val="1"/>
      <w:tblStyleColBandSize w:val="1"/>
      <w:tblBorders>
        <w:top w:val="single" w:sz="4" w:space="0" w:color="19B1C3" w:themeColor="accent2"/>
        <w:left w:val="single" w:sz="4" w:space="0" w:color="19B1C3" w:themeColor="accent2"/>
        <w:bottom w:val="single" w:sz="4" w:space="0" w:color="19B1C3" w:themeColor="accent2"/>
        <w:right w:val="single" w:sz="4" w:space="0" w:color="19B1C3" w:themeColor="accent2"/>
      </w:tblBorders>
    </w:tblPr>
    <w:tblStylePr w:type="firstRow">
      <w:rPr>
        <w:b/>
        <w:bCs/>
        <w:color w:val="E1E8F6" w:themeColor="background1"/>
      </w:rPr>
      <w:tblPr/>
      <w:tcPr>
        <w:shd w:val="clear" w:color="auto" w:fill="19B1C3" w:themeFill="accent2"/>
      </w:tcPr>
    </w:tblStylePr>
    <w:tblStylePr w:type="lastRow">
      <w:rPr>
        <w:b/>
        <w:bCs/>
      </w:rPr>
      <w:tblPr/>
      <w:tcPr>
        <w:tcBorders>
          <w:top w:val="double" w:sz="4" w:space="0" w:color="19B1C3" w:themeColor="accent2"/>
        </w:tcBorders>
        <w:shd w:val="clear" w:color="auto" w:fill="E1E8F6" w:themeFill="background1"/>
      </w:tcPr>
    </w:tblStylePr>
    <w:tblStylePr w:type="firstCol">
      <w:rPr>
        <w:b/>
        <w:bCs/>
      </w:rPr>
      <w:tblPr/>
      <w:tcPr>
        <w:tcBorders>
          <w:right w:val="nil"/>
        </w:tcBorders>
        <w:shd w:val="clear" w:color="auto" w:fill="E1E8F6" w:themeFill="background1"/>
      </w:tcPr>
    </w:tblStylePr>
    <w:tblStylePr w:type="lastCol">
      <w:rPr>
        <w:b/>
        <w:bCs/>
      </w:rPr>
      <w:tblPr/>
      <w:tcPr>
        <w:tcBorders>
          <w:left w:val="nil"/>
        </w:tcBorders>
        <w:shd w:val="clear" w:color="auto" w:fill="E1E8F6" w:themeFill="background1"/>
      </w:tcPr>
    </w:tblStylePr>
    <w:tblStylePr w:type="band1Vert">
      <w:tblPr/>
      <w:tcPr>
        <w:tcBorders>
          <w:left w:val="single" w:sz="4" w:space="0" w:color="19B1C3" w:themeColor="accent2"/>
          <w:right w:val="single" w:sz="4" w:space="0" w:color="19B1C3" w:themeColor="accent2"/>
        </w:tcBorders>
      </w:tcPr>
    </w:tblStylePr>
    <w:tblStylePr w:type="band1Horz">
      <w:tblPr/>
      <w:tcPr>
        <w:tcBorders>
          <w:top w:val="single" w:sz="4" w:space="0" w:color="19B1C3" w:themeColor="accent2"/>
          <w:bottom w:val="single" w:sz="4" w:space="0" w:color="19B1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B1C3" w:themeColor="accent2"/>
          <w:left w:val="nil"/>
        </w:tcBorders>
      </w:tcPr>
    </w:tblStylePr>
    <w:tblStylePr w:type="swCell">
      <w:tblPr/>
      <w:tcPr>
        <w:tcBorders>
          <w:top w:val="double" w:sz="4" w:space="0" w:color="19B1C3" w:themeColor="accent2"/>
          <w:right w:val="nil"/>
        </w:tcBorders>
      </w:tcPr>
    </w:tblStylePr>
  </w:style>
  <w:style w:type="paragraph" w:customStyle="1" w:styleId="BodyCopy">
    <w:name w:val="Body Copy"/>
    <w:basedOn w:val="Normal"/>
    <w:uiPriority w:val="99"/>
    <w:rsid w:val="005828F5"/>
    <w:pPr>
      <w:suppressAutoHyphens/>
      <w:autoSpaceDE w:val="0"/>
      <w:autoSpaceDN w:val="0"/>
      <w:adjustRightInd w:val="0"/>
      <w:spacing w:before="113" w:after="0" w:line="348" w:lineRule="auto"/>
      <w:textAlignment w:val="center"/>
    </w:pPr>
    <w:rPr>
      <w:rFonts w:ascii="WorkSans-Light" w:hAnsi="WorkSans-Light" w:cs="WorkSans-Light"/>
      <w:color w:val="2F3A48"/>
      <w:sz w:val="20"/>
      <w:szCs w:val="20"/>
      <w:lang w:val="en-GB"/>
      <w14:ligatures w14:val="standardContextual"/>
    </w:rPr>
  </w:style>
  <w:style w:type="paragraph" w:customStyle="1" w:styleId="H1">
    <w:name w:val="H1"/>
    <w:basedOn w:val="BodyCopy"/>
    <w:next w:val="H2"/>
    <w:uiPriority w:val="99"/>
    <w:rsid w:val="005828F5"/>
    <w:pPr>
      <w:spacing w:before="0" w:after="850" w:line="300" w:lineRule="auto"/>
    </w:pPr>
    <w:rPr>
      <w:rFonts w:ascii="WorkSans-Medium" w:hAnsi="WorkSans-Medium" w:cs="WorkSans-Medium"/>
      <w:sz w:val="36"/>
      <w:szCs w:val="36"/>
    </w:rPr>
  </w:style>
  <w:style w:type="paragraph" w:customStyle="1" w:styleId="Introsection">
    <w:name w:val="Intro section"/>
    <w:basedOn w:val="H1"/>
    <w:uiPriority w:val="99"/>
    <w:rsid w:val="005828F5"/>
    <w:pPr>
      <w:spacing w:after="283"/>
    </w:pPr>
    <w:rPr>
      <w:color w:val="1B598C"/>
      <w:sz w:val="32"/>
      <w:szCs w:val="32"/>
    </w:rPr>
  </w:style>
  <w:style w:type="paragraph" w:customStyle="1" w:styleId="Bulletlist">
    <w:name w:val="Bullet list"/>
    <w:basedOn w:val="BodyCopy"/>
    <w:uiPriority w:val="99"/>
    <w:rsid w:val="005828F5"/>
    <w:pPr>
      <w:ind w:left="283" w:hanging="283"/>
    </w:pPr>
  </w:style>
  <w:style w:type="paragraph" w:customStyle="1" w:styleId="bulletlistlessspsace">
    <w:name w:val="bullet list (less spsace)"/>
    <w:basedOn w:val="Bulletlist"/>
    <w:uiPriority w:val="99"/>
    <w:rsid w:val="005828F5"/>
  </w:style>
  <w:style w:type="paragraph" w:customStyle="1" w:styleId="BodyCopyspan">
    <w:name w:val="Body Copy (span)"/>
    <w:basedOn w:val="Normal"/>
    <w:uiPriority w:val="99"/>
    <w:rsid w:val="005828F5"/>
    <w:pPr>
      <w:suppressAutoHyphens/>
      <w:autoSpaceDE w:val="0"/>
      <w:autoSpaceDN w:val="0"/>
      <w:adjustRightInd w:val="0"/>
      <w:spacing w:before="113" w:after="0" w:line="348" w:lineRule="auto"/>
      <w:textAlignment w:val="center"/>
    </w:pPr>
    <w:rPr>
      <w:rFonts w:ascii="WorkSans-Light" w:hAnsi="WorkSans-Light" w:cs="WorkSans-Light"/>
      <w:color w:val="2F3A48"/>
      <w:sz w:val="20"/>
      <w:szCs w:val="20"/>
      <w:lang w:val="en-GB"/>
      <w14:ligatures w14:val="standardContextual"/>
    </w:rPr>
  </w:style>
  <w:style w:type="paragraph" w:customStyle="1" w:styleId="boxnumberlistFeaturebox-SpanT-Blue30">
    <w:name w:val="box number list (Feature box - Span (T-Blue 30%))"/>
    <w:basedOn w:val="BodyCopy"/>
    <w:uiPriority w:val="99"/>
    <w:rsid w:val="005828F5"/>
    <w:pPr>
      <w:shd w:val="clear" w:color="auto" w:fill="2274B5"/>
      <w:tabs>
        <w:tab w:val="left" w:pos="57"/>
        <w:tab w:val="left" w:pos="680"/>
      </w:tabs>
      <w:spacing w:before="454"/>
      <w:ind w:left="567" w:right="170" w:hanging="283"/>
    </w:pPr>
    <w:rPr>
      <w:sz w:val="22"/>
      <w:szCs w:val="22"/>
    </w:rPr>
  </w:style>
  <w:style w:type="paragraph" w:customStyle="1" w:styleId="H2">
    <w:name w:val="H2"/>
    <w:basedOn w:val="BodyCopy"/>
    <w:uiPriority w:val="99"/>
    <w:rsid w:val="005828F5"/>
    <w:pPr>
      <w:keepNext/>
      <w:spacing w:before="227" w:line="300" w:lineRule="auto"/>
    </w:pPr>
    <w:rPr>
      <w:rFonts w:ascii="WorkSans-SemiBold" w:hAnsi="WorkSans-SemiBold" w:cs="WorkSans-SemiBold"/>
      <w:b/>
      <w:bCs/>
      <w:color w:val="1B598C"/>
      <w:sz w:val="24"/>
      <w:szCs w:val="24"/>
    </w:rPr>
  </w:style>
  <w:style w:type="paragraph" w:customStyle="1" w:styleId="H3">
    <w:name w:val="H3"/>
    <w:basedOn w:val="BodyCopy"/>
    <w:uiPriority w:val="99"/>
    <w:rsid w:val="005828F5"/>
    <w:pPr>
      <w:keepNext/>
      <w:keepLines/>
      <w:spacing w:before="283"/>
    </w:pPr>
    <w:rPr>
      <w:rFonts w:ascii="WorkSans-Bold" w:hAnsi="WorkSans-Bold" w:cs="WorkSans-Bold"/>
      <w:b/>
      <w:bCs/>
      <w:sz w:val="22"/>
      <w:szCs w:val="22"/>
    </w:rPr>
  </w:style>
  <w:style w:type="paragraph" w:customStyle="1" w:styleId="FigureHeading">
    <w:name w:val="Figure Heading"/>
    <w:basedOn w:val="BodyCopy"/>
    <w:uiPriority w:val="99"/>
    <w:rsid w:val="005828F5"/>
    <w:pPr>
      <w:keepNext/>
      <w:spacing w:before="170" w:after="113"/>
    </w:pPr>
    <w:rPr>
      <w:rFonts w:ascii="WorkSans-Regular" w:hAnsi="WorkSans-Regular" w:cs="WorkSans-Regular"/>
    </w:rPr>
  </w:style>
  <w:style w:type="paragraph" w:customStyle="1" w:styleId="Numberedlist">
    <w:name w:val="Numbered list"/>
    <w:basedOn w:val="Normal"/>
    <w:uiPriority w:val="99"/>
    <w:rsid w:val="005828F5"/>
    <w:pPr>
      <w:suppressAutoHyphens/>
      <w:autoSpaceDE w:val="0"/>
      <w:autoSpaceDN w:val="0"/>
      <w:adjustRightInd w:val="0"/>
      <w:spacing w:before="113" w:after="0" w:line="348" w:lineRule="auto"/>
      <w:ind w:left="283" w:hanging="283"/>
      <w:textAlignment w:val="center"/>
    </w:pPr>
    <w:rPr>
      <w:rFonts w:ascii="WorkSans-Light" w:hAnsi="WorkSans-Light" w:cs="WorkSans-Light"/>
      <w:color w:val="2F3A48"/>
      <w:sz w:val="20"/>
      <w:szCs w:val="20"/>
      <w:lang w:val="en-GB"/>
      <w14:ligatures w14:val="standardContextual"/>
    </w:rPr>
  </w:style>
  <w:style w:type="paragraph" w:customStyle="1" w:styleId="H4">
    <w:name w:val="H4"/>
    <w:basedOn w:val="H3"/>
    <w:uiPriority w:val="99"/>
    <w:rsid w:val="005828F5"/>
    <w:pPr>
      <w:spacing w:before="113"/>
    </w:pPr>
    <w:rPr>
      <w:rFonts w:ascii="WorkSans-Medium" w:hAnsi="WorkSans-Medium" w:cs="WorkSans-Medium"/>
      <w:sz w:val="20"/>
      <w:szCs w:val="20"/>
    </w:rPr>
  </w:style>
  <w:style w:type="paragraph" w:customStyle="1" w:styleId="FigureCaption">
    <w:name w:val="Figure Caption"/>
    <w:basedOn w:val="FigureHeading"/>
    <w:uiPriority w:val="99"/>
    <w:rsid w:val="005828F5"/>
    <w:pPr>
      <w:shd w:val="clear" w:color="auto" w:fill="1B598C"/>
      <w:spacing w:before="283" w:after="170"/>
      <w:ind w:left="170" w:right="170"/>
    </w:pPr>
  </w:style>
  <w:style w:type="paragraph" w:customStyle="1" w:styleId="boxheadingFeaturebox-1columnTeal20">
    <w:name w:val="box heading (Feature box - 1 column (Teal 20%))"/>
    <w:basedOn w:val="Normal"/>
    <w:uiPriority w:val="99"/>
    <w:rsid w:val="005828F5"/>
    <w:pPr>
      <w:shd w:val="clear" w:color="auto" w:fill="19B1C3"/>
      <w:suppressAutoHyphens/>
      <w:autoSpaceDE w:val="0"/>
      <w:autoSpaceDN w:val="0"/>
      <w:adjustRightInd w:val="0"/>
      <w:spacing w:before="283" w:after="0" w:line="348" w:lineRule="auto"/>
      <w:ind w:left="170" w:right="170"/>
      <w:textAlignment w:val="center"/>
    </w:pPr>
    <w:rPr>
      <w:rFonts w:ascii="WorkSans-SemiBold" w:hAnsi="WorkSans-SemiBold" w:cs="WorkSans-SemiBold"/>
      <w:b/>
      <w:bCs/>
      <w:color w:val="2F3A48"/>
      <w:sz w:val="22"/>
      <w:szCs w:val="22"/>
      <w:lang w:val="en-GB"/>
      <w14:ligatures w14:val="standardContextual"/>
    </w:rPr>
  </w:style>
  <w:style w:type="paragraph" w:customStyle="1" w:styleId="boxsubheadFeaturebox-1columnTeal20">
    <w:name w:val="box subhead (Feature box - 1 column (Teal 20%))"/>
    <w:basedOn w:val="Normal"/>
    <w:uiPriority w:val="99"/>
    <w:rsid w:val="005828F5"/>
    <w:pPr>
      <w:shd w:val="clear" w:color="auto" w:fill="19B1C3"/>
      <w:suppressAutoHyphens/>
      <w:autoSpaceDE w:val="0"/>
      <w:autoSpaceDN w:val="0"/>
      <w:adjustRightInd w:val="0"/>
      <w:spacing w:before="57" w:after="0" w:line="348" w:lineRule="auto"/>
      <w:ind w:left="170" w:right="170"/>
      <w:textAlignment w:val="center"/>
    </w:pPr>
    <w:rPr>
      <w:rFonts w:ascii="WorkSans-Medium" w:hAnsi="WorkSans-Medium" w:cs="WorkSans-Medium"/>
      <w:color w:val="2F3A48"/>
      <w:sz w:val="20"/>
      <w:szCs w:val="20"/>
      <w:lang w:val="en-GB"/>
      <w14:ligatures w14:val="standardContextual"/>
    </w:rPr>
  </w:style>
  <w:style w:type="paragraph" w:customStyle="1" w:styleId="boxcopyFeaturebox-1columnTeal20">
    <w:name w:val="box copy (Feature box - 1 column (Teal 20%))"/>
    <w:basedOn w:val="Normal"/>
    <w:uiPriority w:val="99"/>
    <w:rsid w:val="005828F5"/>
    <w:pPr>
      <w:shd w:val="clear" w:color="auto" w:fill="19B1C3"/>
      <w:suppressAutoHyphens/>
      <w:autoSpaceDE w:val="0"/>
      <w:autoSpaceDN w:val="0"/>
      <w:adjustRightInd w:val="0"/>
      <w:spacing w:before="57" w:after="57" w:line="348" w:lineRule="auto"/>
      <w:ind w:left="170" w:right="170"/>
      <w:textAlignment w:val="center"/>
    </w:pPr>
    <w:rPr>
      <w:rFonts w:ascii="WorkSans-Light" w:hAnsi="WorkSans-Light" w:cs="WorkSans-Light"/>
      <w:color w:val="2F3A48"/>
      <w:sz w:val="20"/>
      <w:szCs w:val="20"/>
      <w:lang w:val="en-GB"/>
      <w14:ligatures w14:val="standardContextual"/>
    </w:rPr>
  </w:style>
  <w:style w:type="paragraph" w:customStyle="1" w:styleId="boxsubheadFeaturebox-1columnT-Blue30">
    <w:name w:val="box subhead (Feature box - 1 column (T-Blue 30%))"/>
    <w:basedOn w:val="boxsubheadFeaturebox-1columnTeal20"/>
    <w:uiPriority w:val="99"/>
    <w:rsid w:val="005828F5"/>
    <w:pPr>
      <w:shd w:val="clear" w:color="auto" w:fill="1B598C"/>
    </w:pPr>
  </w:style>
  <w:style w:type="paragraph" w:customStyle="1" w:styleId="boxcopyFeaturebox-1columnT-Blue30">
    <w:name w:val="box copy (Feature box - 1 column (T-Blue 30%))"/>
    <w:basedOn w:val="boxcopyFeaturebox-1columnTeal20"/>
    <w:uiPriority w:val="99"/>
    <w:rsid w:val="005828F5"/>
    <w:pPr>
      <w:shd w:val="clear" w:color="auto" w:fill="1B598C"/>
    </w:pPr>
  </w:style>
  <w:style w:type="paragraph" w:customStyle="1" w:styleId="FigureHeadingspan">
    <w:name w:val="Figure Heading (span)"/>
    <w:basedOn w:val="FigureHeading"/>
    <w:uiPriority w:val="99"/>
    <w:rsid w:val="005828F5"/>
    <w:pPr>
      <w:spacing w:before="283" w:after="57"/>
    </w:pPr>
  </w:style>
  <w:style w:type="paragraph" w:customStyle="1" w:styleId="Keyactivityheading">
    <w:name w:val="Key activity heading"/>
    <w:basedOn w:val="H3"/>
    <w:uiPriority w:val="99"/>
    <w:rsid w:val="005828F5"/>
    <w:pPr>
      <w:spacing w:before="113"/>
    </w:pPr>
    <w:rPr>
      <w:rFonts w:ascii="WorkSans-Light" w:hAnsi="WorkSans-Light" w:cs="WorkSans-Light"/>
      <w:sz w:val="20"/>
      <w:szCs w:val="20"/>
    </w:rPr>
  </w:style>
  <w:style w:type="paragraph" w:customStyle="1" w:styleId="TableHeadingspan">
    <w:name w:val="Table Heading (span)"/>
    <w:basedOn w:val="Normal"/>
    <w:uiPriority w:val="99"/>
    <w:rsid w:val="005828F5"/>
    <w:pPr>
      <w:keepNext/>
      <w:suppressAutoHyphens/>
      <w:autoSpaceDE w:val="0"/>
      <w:autoSpaceDN w:val="0"/>
      <w:adjustRightInd w:val="0"/>
      <w:spacing w:before="0" w:after="170" w:line="348" w:lineRule="auto"/>
      <w:textAlignment w:val="center"/>
    </w:pPr>
    <w:rPr>
      <w:rFonts w:ascii="WorkSans-Light" w:hAnsi="WorkSans-Light" w:cs="WorkSans-Light"/>
      <w:color w:val="2F3A48"/>
      <w:sz w:val="20"/>
      <w:szCs w:val="20"/>
      <w:lang w:val="en-GB"/>
      <w14:ligatures w14:val="standardContextual"/>
    </w:rPr>
  </w:style>
  <w:style w:type="paragraph" w:customStyle="1" w:styleId="footnote">
    <w:name w:val="footnote"/>
    <w:basedOn w:val="BodyCopy"/>
    <w:uiPriority w:val="99"/>
    <w:rsid w:val="0007421B"/>
    <w:pPr>
      <w:ind w:left="170" w:hanging="170"/>
    </w:pPr>
    <w:rPr>
      <w:rFonts w:asciiTheme="minorHAnsi" w:hAnsiTheme="minorHAnsi"/>
      <w:color w:val="auto"/>
      <w:szCs w:val="16"/>
    </w:rPr>
  </w:style>
  <w:style w:type="paragraph" w:customStyle="1" w:styleId="TablecopyTables">
    <w:name w:val="Table copy (Tables)"/>
    <w:basedOn w:val="BodyCopy"/>
    <w:uiPriority w:val="99"/>
    <w:rsid w:val="00933431"/>
    <w:pPr>
      <w:tabs>
        <w:tab w:val="left" w:pos="113"/>
      </w:tabs>
      <w:spacing w:before="120" w:after="120" w:line="360" w:lineRule="auto"/>
    </w:pPr>
    <w:rPr>
      <w:rFonts w:asciiTheme="minorHAnsi" w:hAnsiTheme="minorHAnsi"/>
      <w:sz w:val="24"/>
      <w:szCs w:val="24"/>
    </w:rPr>
  </w:style>
  <w:style w:type="paragraph" w:customStyle="1" w:styleId="tableheaderTables">
    <w:name w:val="table header (Tables)"/>
    <w:basedOn w:val="TablecopyTables"/>
    <w:uiPriority w:val="99"/>
    <w:rsid w:val="005828F5"/>
    <w:rPr>
      <w:rFonts w:ascii="WorkSans-Medium" w:hAnsi="WorkSans-Medium" w:cs="WorkSans-Medium"/>
    </w:rPr>
  </w:style>
  <w:style w:type="character" w:customStyle="1" w:styleId="bold">
    <w:name w:val="bold"/>
    <w:uiPriority w:val="99"/>
    <w:rsid w:val="005828F5"/>
    <w:rPr>
      <w:b/>
      <w:bCs/>
    </w:rPr>
  </w:style>
  <w:style w:type="character" w:customStyle="1" w:styleId="Semibold">
    <w:name w:val="Semi bold"/>
    <w:uiPriority w:val="99"/>
    <w:rsid w:val="005828F5"/>
    <w:rPr>
      <w:rFonts w:ascii="WorkSans-SemiBold" w:hAnsi="WorkSans-SemiBold" w:cs="WorkSans-SemiBold"/>
      <w:b/>
      <w:bCs/>
    </w:rPr>
  </w:style>
  <w:style w:type="character" w:customStyle="1" w:styleId="Superscript">
    <w:name w:val="Superscript"/>
    <w:uiPriority w:val="99"/>
    <w:rsid w:val="005828F5"/>
    <w:rPr>
      <w:vertAlign w:val="superscript"/>
    </w:rPr>
  </w:style>
  <w:style w:type="character" w:customStyle="1" w:styleId="Highlight">
    <w:name w:val="Highlight"/>
    <w:uiPriority w:val="99"/>
    <w:rsid w:val="005828F5"/>
    <w:rPr>
      <w:u w:val="thick" w:color="DD453C"/>
    </w:rPr>
  </w:style>
  <w:style w:type="table" w:styleId="GridTable3-Accent1">
    <w:name w:val="Grid Table 3 Accent 1"/>
    <w:basedOn w:val="TableNormal"/>
    <w:uiPriority w:val="48"/>
    <w:rsid w:val="005828F5"/>
    <w:rPr>
      <w:kern w:val="2"/>
      <w14:ligatures w14:val="standardContextual"/>
    </w:rPr>
    <w:tblPr>
      <w:tblStyleRowBandSize w:val="1"/>
      <w:tblStyleColBandSize w:val="1"/>
      <w:tblBorders>
        <w:top w:val="single" w:sz="4" w:space="0" w:color="98DCE4" w:themeColor="accent1" w:themeTint="99"/>
        <w:left w:val="single" w:sz="4" w:space="0" w:color="98DCE4" w:themeColor="accent1" w:themeTint="99"/>
        <w:bottom w:val="single" w:sz="4" w:space="0" w:color="98DCE4" w:themeColor="accent1" w:themeTint="99"/>
        <w:right w:val="single" w:sz="4" w:space="0" w:color="98DCE4" w:themeColor="accent1" w:themeTint="99"/>
        <w:insideH w:val="single" w:sz="4" w:space="0" w:color="98DCE4" w:themeColor="accent1" w:themeTint="99"/>
        <w:insideV w:val="single" w:sz="4" w:space="0" w:color="98DCE4" w:themeColor="accent1" w:themeTint="99"/>
      </w:tblBorders>
    </w:tblPr>
    <w:tblStylePr w:type="firstRow">
      <w:rPr>
        <w:b/>
        <w:bCs/>
      </w:rPr>
      <w:tblPr/>
      <w:tcPr>
        <w:tcBorders>
          <w:top w:val="nil"/>
          <w:left w:val="nil"/>
          <w:right w:val="nil"/>
          <w:insideH w:val="nil"/>
          <w:insideV w:val="nil"/>
        </w:tcBorders>
        <w:shd w:val="clear" w:color="auto" w:fill="E1E8F6" w:themeFill="background1"/>
      </w:tcPr>
    </w:tblStylePr>
    <w:tblStylePr w:type="lastRow">
      <w:rPr>
        <w:b/>
        <w:bCs/>
      </w:rPr>
      <w:tblPr/>
      <w:tcPr>
        <w:tcBorders>
          <w:left w:val="nil"/>
          <w:bottom w:val="nil"/>
          <w:right w:val="nil"/>
          <w:insideH w:val="nil"/>
          <w:insideV w:val="nil"/>
        </w:tcBorders>
        <w:shd w:val="clear" w:color="auto" w:fill="E1E8F6" w:themeFill="background1"/>
      </w:tcPr>
    </w:tblStylePr>
    <w:tblStylePr w:type="firstCol">
      <w:pPr>
        <w:jc w:val="right"/>
      </w:pPr>
      <w:rPr>
        <w:i/>
        <w:iCs/>
      </w:rPr>
      <w:tblPr/>
      <w:tcPr>
        <w:tcBorders>
          <w:top w:val="nil"/>
          <w:left w:val="nil"/>
          <w:bottom w:val="nil"/>
          <w:insideH w:val="nil"/>
          <w:insideV w:val="nil"/>
        </w:tcBorders>
        <w:shd w:val="clear" w:color="auto" w:fill="E1E8F6" w:themeFill="background1"/>
      </w:tcPr>
    </w:tblStylePr>
    <w:tblStylePr w:type="lastCol">
      <w:rPr>
        <w:i/>
        <w:iCs/>
      </w:rPr>
      <w:tblPr/>
      <w:tcPr>
        <w:tcBorders>
          <w:top w:val="nil"/>
          <w:bottom w:val="nil"/>
          <w:right w:val="nil"/>
          <w:insideH w:val="nil"/>
          <w:insideV w:val="nil"/>
        </w:tcBorders>
        <w:shd w:val="clear" w:color="auto" w:fill="E1E8F6" w:themeFill="background1"/>
      </w:tcPr>
    </w:tblStylePr>
    <w:tblStylePr w:type="band1Vert">
      <w:tblPr/>
      <w:tcPr>
        <w:shd w:val="clear" w:color="auto" w:fill="DCF3F6" w:themeFill="accent1" w:themeFillTint="33"/>
      </w:tcPr>
    </w:tblStylePr>
    <w:tblStylePr w:type="band1Horz">
      <w:tblPr/>
      <w:tcPr>
        <w:shd w:val="clear" w:color="auto" w:fill="DCF3F6" w:themeFill="accent1" w:themeFillTint="33"/>
      </w:tcPr>
    </w:tblStylePr>
    <w:tblStylePr w:type="neCell">
      <w:tblPr/>
      <w:tcPr>
        <w:tcBorders>
          <w:bottom w:val="single" w:sz="4" w:space="0" w:color="98DCE4" w:themeColor="accent1" w:themeTint="99"/>
        </w:tcBorders>
      </w:tcPr>
    </w:tblStylePr>
    <w:tblStylePr w:type="nwCell">
      <w:tblPr/>
      <w:tcPr>
        <w:tcBorders>
          <w:bottom w:val="single" w:sz="4" w:space="0" w:color="98DCE4" w:themeColor="accent1" w:themeTint="99"/>
        </w:tcBorders>
      </w:tcPr>
    </w:tblStylePr>
    <w:tblStylePr w:type="seCell">
      <w:tblPr/>
      <w:tcPr>
        <w:tcBorders>
          <w:top w:val="single" w:sz="4" w:space="0" w:color="98DCE4" w:themeColor="accent1" w:themeTint="99"/>
        </w:tcBorders>
      </w:tcPr>
    </w:tblStylePr>
    <w:tblStylePr w:type="swCell">
      <w:tblPr/>
      <w:tcPr>
        <w:tcBorders>
          <w:top w:val="single" w:sz="4" w:space="0" w:color="98DCE4" w:themeColor="accent1" w:themeTint="99"/>
        </w:tcBorders>
      </w:tcPr>
    </w:tblStylePr>
  </w:style>
  <w:style w:type="paragraph" w:customStyle="1" w:styleId="NormalblueWorkSans">
    <w:name w:val="Normal blue Work Sans"/>
    <w:basedOn w:val="Normal"/>
    <w:qFormat/>
    <w:rsid w:val="00AB7525"/>
    <w:rPr>
      <w:color w:val="1B598C" w:themeColor="text1"/>
      <w:sz w:val="28"/>
      <w:szCs w:val="28"/>
      <w:lang w:val="en-GB"/>
    </w:rPr>
  </w:style>
  <w:style w:type="paragraph" w:styleId="Caption">
    <w:name w:val="caption"/>
    <w:basedOn w:val="Normal"/>
    <w:next w:val="Normal"/>
    <w:uiPriority w:val="35"/>
    <w:unhideWhenUsed/>
    <w:qFormat/>
    <w:rsid w:val="00592DDA"/>
    <w:pPr>
      <w:spacing w:before="0" w:after="200" w:line="240" w:lineRule="auto"/>
    </w:pPr>
    <w:rPr>
      <w:iCs/>
      <w:sz w:val="20"/>
      <w:szCs w:val="18"/>
    </w:rPr>
  </w:style>
  <w:style w:type="table" w:customStyle="1" w:styleId="CorporatePlan">
    <w:name w:val="Corporate Plan"/>
    <w:basedOn w:val="TableNormal"/>
    <w:uiPriority w:val="99"/>
    <w:rsid w:val="00AB1FB4"/>
    <w:tblPr>
      <w:tblStyleRowBandSize w:val="1"/>
      <w:tblBorders>
        <w:bottom w:val="single" w:sz="4" w:space="0" w:color="2F3A48" w:themeColor="text2"/>
        <w:insideH w:val="single" w:sz="4" w:space="0" w:color="2F3A48" w:themeColor="text2"/>
      </w:tblBorders>
    </w:tblPr>
    <w:trPr>
      <w:cantSplit/>
    </w:trPr>
    <w:tblStylePr w:type="firstRow">
      <w:rPr>
        <w:b/>
        <w:color w:val="FFFFFF" w:themeColor="accent5"/>
      </w:rPr>
      <w:tblPr/>
      <w:tcPr>
        <w:tcBorders>
          <w:top w:val="nil"/>
          <w:left w:val="nil"/>
          <w:bottom w:val="single" w:sz="48" w:space="0" w:color="1B598C" w:themeColor="text1"/>
          <w:right w:val="nil"/>
          <w:insideH w:val="nil"/>
          <w:insideV w:val="nil"/>
          <w:tl2br w:val="nil"/>
          <w:tr2bl w:val="nil"/>
        </w:tcBorders>
        <w:shd w:val="clear" w:color="auto" w:fill="2F3A48" w:themeFill="text2"/>
      </w:tcPr>
    </w:tblStylePr>
    <w:tblStylePr w:type="lastRow">
      <w:rPr>
        <w:b w:val="0"/>
      </w:rPr>
    </w:tblStylePr>
    <w:tblStylePr w:type="firstCol">
      <w:rPr>
        <w:b/>
      </w:rPr>
    </w:tblStylePr>
    <w:tblStylePr w:type="band1Horz">
      <w:tblPr/>
      <w:tcPr>
        <w:shd w:val="clear" w:color="auto" w:fill="F4F7F9"/>
      </w:tcPr>
    </w:tblStylePr>
  </w:style>
  <w:style w:type="paragraph" w:customStyle="1" w:styleId="Imprintpage">
    <w:name w:val="Imprint page"/>
    <w:basedOn w:val="Normal"/>
    <w:qFormat/>
    <w:rsid w:val="00F249C5"/>
    <w:pPr>
      <w:keepLines/>
      <w:spacing w:before="120" w:after="120"/>
    </w:pPr>
    <w:rPr>
      <w:color w:val="auto"/>
      <w:sz w:val="14"/>
    </w:rPr>
  </w:style>
  <w:style w:type="paragraph" w:styleId="Title">
    <w:name w:val="Title"/>
    <w:basedOn w:val="Heading1"/>
    <w:next w:val="Normal"/>
    <w:link w:val="TitleChar"/>
    <w:uiPriority w:val="10"/>
    <w:rsid w:val="00434A7D"/>
    <w:pPr>
      <w:pageBreakBefore w:val="0"/>
      <w:spacing w:before="240"/>
      <w:contextualSpacing/>
    </w:pPr>
    <w:rPr>
      <w:color w:val="FFFFFF" w:themeColor="accent5"/>
      <w:sz w:val="72"/>
    </w:rPr>
  </w:style>
  <w:style w:type="character" w:customStyle="1" w:styleId="TitleChar">
    <w:name w:val="Title Char"/>
    <w:basedOn w:val="DefaultParagraphFont"/>
    <w:link w:val="Title"/>
    <w:uiPriority w:val="10"/>
    <w:rsid w:val="00434A7D"/>
    <w:rPr>
      <w:rFonts w:ascii="Work Sans SemiBold" w:hAnsi="Work Sans SemiBold" w:cs="Calibri"/>
      <w:bCs/>
      <w:color w:val="FFFFFF" w:themeColor="accent5"/>
      <w:sz w:val="72"/>
      <w:szCs w:val="36"/>
    </w:rPr>
  </w:style>
  <w:style w:type="character" w:customStyle="1" w:styleId="Heading8Char">
    <w:name w:val="Heading 8 Char"/>
    <w:basedOn w:val="DefaultParagraphFont"/>
    <w:link w:val="Heading8"/>
    <w:uiPriority w:val="9"/>
    <w:semiHidden/>
    <w:rsid w:val="00122655"/>
    <w:rPr>
      <w:rFonts w:asciiTheme="majorHAnsi" w:eastAsiaTheme="majorEastAsia" w:hAnsiTheme="majorHAnsi" w:cstheme="majorBidi"/>
      <w:color w:val="2374B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5945">
      <w:bodyDiv w:val="1"/>
      <w:marLeft w:val="0"/>
      <w:marRight w:val="0"/>
      <w:marTop w:val="0"/>
      <w:marBottom w:val="0"/>
      <w:divBdr>
        <w:top w:val="none" w:sz="0" w:space="0" w:color="auto"/>
        <w:left w:val="none" w:sz="0" w:space="0" w:color="auto"/>
        <w:bottom w:val="none" w:sz="0" w:space="0" w:color="auto"/>
        <w:right w:val="none" w:sz="0" w:space="0" w:color="auto"/>
      </w:divBdr>
      <w:divsChild>
        <w:div w:id="478768793">
          <w:marLeft w:val="446"/>
          <w:marRight w:val="0"/>
          <w:marTop w:val="0"/>
          <w:marBottom w:val="0"/>
          <w:divBdr>
            <w:top w:val="none" w:sz="0" w:space="0" w:color="auto"/>
            <w:left w:val="none" w:sz="0" w:space="0" w:color="auto"/>
            <w:bottom w:val="none" w:sz="0" w:space="0" w:color="auto"/>
            <w:right w:val="none" w:sz="0" w:space="0" w:color="auto"/>
          </w:divBdr>
        </w:div>
        <w:div w:id="564997618">
          <w:marLeft w:val="446"/>
          <w:marRight w:val="0"/>
          <w:marTop w:val="0"/>
          <w:marBottom w:val="0"/>
          <w:divBdr>
            <w:top w:val="none" w:sz="0" w:space="0" w:color="auto"/>
            <w:left w:val="none" w:sz="0" w:space="0" w:color="auto"/>
            <w:bottom w:val="none" w:sz="0" w:space="0" w:color="auto"/>
            <w:right w:val="none" w:sz="0" w:space="0" w:color="auto"/>
          </w:divBdr>
        </w:div>
        <w:div w:id="1976520208">
          <w:marLeft w:val="446"/>
          <w:marRight w:val="0"/>
          <w:marTop w:val="0"/>
          <w:marBottom w:val="0"/>
          <w:divBdr>
            <w:top w:val="none" w:sz="0" w:space="0" w:color="auto"/>
            <w:left w:val="none" w:sz="0" w:space="0" w:color="auto"/>
            <w:bottom w:val="none" w:sz="0" w:space="0" w:color="auto"/>
            <w:right w:val="none" w:sz="0" w:space="0" w:color="auto"/>
          </w:divBdr>
        </w:div>
      </w:divsChild>
    </w:div>
    <w:div w:id="63261141">
      <w:bodyDiv w:val="1"/>
      <w:marLeft w:val="0"/>
      <w:marRight w:val="0"/>
      <w:marTop w:val="0"/>
      <w:marBottom w:val="0"/>
      <w:divBdr>
        <w:top w:val="none" w:sz="0" w:space="0" w:color="auto"/>
        <w:left w:val="none" w:sz="0" w:space="0" w:color="auto"/>
        <w:bottom w:val="none" w:sz="0" w:space="0" w:color="auto"/>
        <w:right w:val="none" w:sz="0" w:space="0" w:color="auto"/>
      </w:divBdr>
      <w:divsChild>
        <w:div w:id="1361202429">
          <w:marLeft w:val="446"/>
          <w:marRight w:val="0"/>
          <w:marTop w:val="0"/>
          <w:marBottom w:val="0"/>
          <w:divBdr>
            <w:top w:val="none" w:sz="0" w:space="0" w:color="auto"/>
            <w:left w:val="none" w:sz="0" w:space="0" w:color="auto"/>
            <w:bottom w:val="none" w:sz="0" w:space="0" w:color="auto"/>
            <w:right w:val="none" w:sz="0" w:space="0" w:color="auto"/>
          </w:divBdr>
        </w:div>
        <w:div w:id="1611467998">
          <w:marLeft w:val="446"/>
          <w:marRight w:val="0"/>
          <w:marTop w:val="0"/>
          <w:marBottom w:val="0"/>
          <w:divBdr>
            <w:top w:val="none" w:sz="0" w:space="0" w:color="auto"/>
            <w:left w:val="none" w:sz="0" w:space="0" w:color="auto"/>
            <w:bottom w:val="none" w:sz="0" w:space="0" w:color="auto"/>
            <w:right w:val="none" w:sz="0" w:space="0" w:color="auto"/>
          </w:divBdr>
        </w:div>
        <w:div w:id="1864980406">
          <w:marLeft w:val="446"/>
          <w:marRight w:val="0"/>
          <w:marTop w:val="0"/>
          <w:marBottom w:val="0"/>
          <w:divBdr>
            <w:top w:val="none" w:sz="0" w:space="0" w:color="auto"/>
            <w:left w:val="none" w:sz="0" w:space="0" w:color="auto"/>
            <w:bottom w:val="none" w:sz="0" w:space="0" w:color="auto"/>
            <w:right w:val="none" w:sz="0" w:space="0" w:color="auto"/>
          </w:divBdr>
        </w:div>
      </w:divsChild>
    </w:div>
    <w:div w:id="168297000">
      <w:bodyDiv w:val="1"/>
      <w:marLeft w:val="0"/>
      <w:marRight w:val="0"/>
      <w:marTop w:val="0"/>
      <w:marBottom w:val="0"/>
      <w:divBdr>
        <w:top w:val="none" w:sz="0" w:space="0" w:color="auto"/>
        <w:left w:val="none" w:sz="0" w:space="0" w:color="auto"/>
        <w:bottom w:val="none" w:sz="0" w:space="0" w:color="auto"/>
        <w:right w:val="none" w:sz="0" w:space="0" w:color="auto"/>
      </w:divBdr>
    </w:div>
    <w:div w:id="183134472">
      <w:bodyDiv w:val="1"/>
      <w:marLeft w:val="0"/>
      <w:marRight w:val="0"/>
      <w:marTop w:val="0"/>
      <w:marBottom w:val="0"/>
      <w:divBdr>
        <w:top w:val="none" w:sz="0" w:space="0" w:color="auto"/>
        <w:left w:val="none" w:sz="0" w:space="0" w:color="auto"/>
        <w:bottom w:val="none" w:sz="0" w:space="0" w:color="auto"/>
        <w:right w:val="none" w:sz="0" w:space="0" w:color="auto"/>
      </w:divBdr>
      <w:divsChild>
        <w:div w:id="75638661">
          <w:marLeft w:val="446"/>
          <w:marRight w:val="0"/>
          <w:marTop w:val="0"/>
          <w:marBottom w:val="0"/>
          <w:divBdr>
            <w:top w:val="none" w:sz="0" w:space="0" w:color="auto"/>
            <w:left w:val="none" w:sz="0" w:space="0" w:color="auto"/>
            <w:bottom w:val="none" w:sz="0" w:space="0" w:color="auto"/>
            <w:right w:val="none" w:sz="0" w:space="0" w:color="auto"/>
          </w:divBdr>
        </w:div>
        <w:div w:id="541209766">
          <w:marLeft w:val="446"/>
          <w:marRight w:val="0"/>
          <w:marTop w:val="0"/>
          <w:marBottom w:val="0"/>
          <w:divBdr>
            <w:top w:val="none" w:sz="0" w:space="0" w:color="auto"/>
            <w:left w:val="none" w:sz="0" w:space="0" w:color="auto"/>
            <w:bottom w:val="none" w:sz="0" w:space="0" w:color="auto"/>
            <w:right w:val="none" w:sz="0" w:space="0" w:color="auto"/>
          </w:divBdr>
        </w:div>
        <w:div w:id="1199472392">
          <w:marLeft w:val="446"/>
          <w:marRight w:val="0"/>
          <w:marTop w:val="0"/>
          <w:marBottom w:val="0"/>
          <w:divBdr>
            <w:top w:val="none" w:sz="0" w:space="0" w:color="auto"/>
            <w:left w:val="none" w:sz="0" w:space="0" w:color="auto"/>
            <w:bottom w:val="none" w:sz="0" w:space="0" w:color="auto"/>
            <w:right w:val="none" w:sz="0" w:space="0" w:color="auto"/>
          </w:divBdr>
        </w:div>
      </w:divsChild>
    </w:div>
    <w:div w:id="219094528">
      <w:bodyDiv w:val="1"/>
      <w:marLeft w:val="0"/>
      <w:marRight w:val="0"/>
      <w:marTop w:val="0"/>
      <w:marBottom w:val="0"/>
      <w:divBdr>
        <w:top w:val="none" w:sz="0" w:space="0" w:color="auto"/>
        <w:left w:val="none" w:sz="0" w:space="0" w:color="auto"/>
        <w:bottom w:val="none" w:sz="0" w:space="0" w:color="auto"/>
        <w:right w:val="none" w:sz="0" w:space="0" w:color="auto"/>
      </w:divBdr>
    </w:div>
    <w:div w:id="421798078">
      <w:bodyDiv w:val="1"/>
      <w:marLeft w:val="0"/>
      <w:marRight w:val="0"/>
      <w:marTop w:val="0"/>
      <w:marBottom w:val="0"/>
      <w:divBdr>
        <w:top w:val="none" w:sz="0" w:space="0" w:color="auto"/>
        <w:left w:val="none" w:sz="0" w:space="0" w:color="auto"/>
        <w:bottom w:val="none" w:sz="0" w:space="0" w:color="auto"/>
        <w:right w:val="none" w:sz="0" w:space="0" w:color="auto"/>
      </w:divBdr>
      <w:divsChild>
        <w:div w:id="365568184">
          <w:marLeft w:val="446"/>
          <w:marRight w:val="0"/>
          <w:marTop w:val="0"/>
          <w:marBottom w:val="0"/>
          <w:divBdr>
            <w:top w:val="none" w:sz="0" w:space="0" w:color="auto"/>
            <w:left w:val="none" w:sz="0" w:space="0" w:color="auto"/>
            <w:bottom w:val="none" w:sz="0" w:space="0" w:color="auto"/>
            <w:right w:val="none" w:sz="0" w:space="0" w:color="auto"/>
          </w:divBdr>
        </w:div>
        <w:div w:id="1764758777">
          <w:marLeft w:val="446"/>
          <w:marRight w:val="0"/>
          <w:marTop w:val="0"/>
          <w:marBottom w:val="0"/>
          <w:divBdr>
            <w:top w:val="none" w:sz="0" w:space="0" w:color="auto"/>
            <w:left w:val="none" w:sz="0" w:space="0" w:color="auto"/>
            <w:bottom w:val="none" w:sz="0" w:space="0" w:color="auto"/>
            <w:right w:val="none" w:sz="0" w:space="0" w:color="auto"/>
          </w:divBdr>
        </w:div>
      </w:divsChild>
    </w:div>
    <w:div w:id="424616047">
      <w:bodyDiv w:val="1"/>
      <w:marLeft w:val="0"/>
      <w:marRight w:val="0"/>
      <w:marTop w:val="0"/>
      <w:marBottom w:val="0"/>
      <w:divBdr>
        <w:top w:val="none" w:sz="0" w:space="0" w:color="auto"/>
        <w:left w:val="none" w:sz="0" w:space="0" w:color="auto"/>
        <w:bottom w:val="none" w:sz="0" w:space="0" w:color="auto"/>
        <w:right w:val="none" w:sz="0" w:space="0" w:color="auto"/>
      </w:divBdr>
    </w:div>
    <w:div w:id="436172741">
      <w:bodyDiv w:val="1"/>
      <w:marLeft w:val="0"/>
      <w:marRight w:val="0"/>
      <w:marTop w:val="0"/>
      <w:marBottom w:val="0"/>
      <w:divBdr>
        <w:top w:val="none" w:sz="0" w:space="0" w:color="auto"/>
        <w:left w:val="none" w:sz="0" w:space="0" w:color="auto"/>
        <w:bottom w:val="none" w:sz="0" w:space="0" w:color="auto"/>
        <w:right w:val="none" w:sz="0" w:space="0" w:color="auto"/>
      </w:divBdr>
      <w:divsChild>
        <w:div w:id="501090668">
          <w:marLeft w:val="446"/>
          <w:marRight w:val="0"/>
          <w:marTop w:val="0"/>
          <w:marBottom w:val="0"/>
          <w:divBdr>
            <w:top w:val="none" w:sz="0" w:space="0" w:color="auto"/>
            <w:left w:val="none" w:sz="0" w:space="0" w:color="auto"/>
            <w:bottom w:val="none" w:sz="0" w:space="0" w:color="auto"/>
            <w:right w:val="none" w:sz="0" w:space="0" w:color="auto"/>
          </w:divBdr>
        </w:div>
        <w:div w:id="1565330030">
          <w:marLeft w:val="446"/>
          <w:marRight w:val="0"/>
          <w:marTop w:val="0"/>
          <w:marBottom w:val="0"/>
          <w:divBdr>
            <w:top w:val="none" w:sz="0" w:space="0" w:color="auto"/>
            <w:left w:val="none" w:sz="0" w:space="0" w:color="auto"/>
            <w:bottom w:val="none" w:sz="0" w:space="0" w:color="auto"/>
            <w:right w:val="none" w:sz="0" w:space="0" w:color="auto"/>
          </w:divBdr>
        </w:div>
        <w:div w:id="1943760265">
          <w:marLeft w:val="446"/>
          <w:marRight w:val="0"/>
          <w:marTop w:val="0"/>
          <w:marBottom w:val="0"/>
          <w:divBdr>
            <w:top w:val="none" w:sz="0" w:space="0" w:color="auto"/>
            <w:left w:val="none" w:sz="0" w:space="0" w:color="auto"/>
            <w:bottom w:val="none" w:sz="0" w:space="0" w:color="auto"/>
            <w:right w:val="none" w:sz="0" w:space="0" w:color="auto"/>
          </w:divBdr>
        </w:div>
      </w:divsChild>
    </w:div>
    <w:div w:id="476383576">
      <w:bodyDiv w:val="1"/>
      <w:marLeft w:val="0"/>
      <w:marRight w:val="0"/>
      <w:marTop w:val="0"/>
      <w:marBottom w:val="0"/>
      <w:divBdr>
        <w:top w:val="none" w:sz="0" w:space="0" w:color="auto"/>
        <w:left w:val="none" w:sz="0" w:space="0" w:color="auto"/>
        <w:bottom w:val="none" w:sz="0" w:space="0" w:color="auto"/>
        <w:right w:val="none" w:sz="0" w:space="0" w:color="auto"/>
      </w:divBdr>
    </w:div>
    <w:div w:id="479230562">
      <w:bodyDiv w:val="1"/>
      <w:marLeft w:val="0"/>
      <w:marRight w:val="0"/>
      <w:marTop w:val="0"/>
      <w:marBottom w:val="0"/>
      <w:divBdr>
        <w:top w:val="none" w:sz="0" w:space="0" w:color="auto"/>
        <w:left w:val="none" w:sz="0" w:space="0" w:color="auto"/>
        <w:bottom w:val="none" w:sz="0" w:space="0" w:color="auto"/>
        <w:right w:val="none" w:sz="0" w:space="0" w:color="auto"/>
      </w:divBdr>
      <w:divsChild>
        <w:div w:id="128130727">
          <w:marLeft w:val="547"/>
          <w:marRight w:val="0"/>
          <w:marTop w:val="200"/>
          <w:marBottom w:val="0"/>
          <w:divBdr>
            <w:top w:val="none" w:sz="0" w:space="0" w:color="auto"/>
            <w:left w:val="none" w:sz="0" w:space="0" w:color="auto"/>
            <w:bottom w:val="none" w:sz="0" w:space="0" w:color="auto"/>
            <w:right w:val="none" w:sz="0" w:space="0" w:color="auto"/>
          </w:divBdr>
        </w:div>
        <w:div w:id="380716898">
          <w:marLeft w:val="547"/>
          <w:marRight w:val="0"/>
          <w:marTop w:val="200"/>
          <w:marBottom w:val="0"/>
          <w:divBdr>
            <w:top w:val="none" w:sz="0" w:space="0" w:color="auto"/>
            <w:left w:val="none" w:sz="0" w:space="0" w:color="auto"/>
            <w:bottom w:val="none" w:sz="0" w:space="0" w:color="auto"/>
            <w:right w:val="none" w:sz="0" w:space="0" w:color="auto"/>
          </w:divBdr>
        </w:div>
        <w:div w:id="437916821">
          <w:marLeft w:val="547"/>
          <w:marRight w:val="0"/>
          <w:marTop w:val="200"/>
          <w:marBottom w:val="0"/>
          <w:divBdr>
            <w:top w:val="none" w:sz="0" w:space="0" w:color="auto"/>
            <w:left w:val="none" w:sz="0" w:space="0" w:color="auto"/>
            <w:bottom w:val="none" w:sz="0" w:space="0" w:color="auto"/>
            <w:right w:val="none" w:sz="0" w:space="0" w:color="auto"/>
          </w:divBdr>
        </w:div>
        <w:div w:id="1016686741">
          <w:marLeft w:val="547"/>
          <w:marRight w:val="0"/>
          <w:marTop w:val="200"/>
          <w:marBottom w:val="0"/>
          <w:divBdr>
            <w:top w:val="none" w:sz="0" w:space="0" w:color="auto"/>
            <w:left w:val="none" w:sz="0" w:space="0" w:color="auto"/>
            <w:bottom w:val="none" w:sz="0" w:space="0" w:color="auto"/>
            <w:right w:val="none" w:sz="0" w:space="0" w:color="auto"/>
          </w:divBdr>
        </w:div>
        <w:div w:id="1176113140">
          <w:marLeft w:val="547"/>
          <w:marRight w:val="0"/>
          <w:marTop w:val="200"/>
          <w:marBottom w:val="0"/>
          <w:divBdr>
            <w:top w:val="none" w:sz="0" w:space="0" w:color="auto"/>
            <w:left w:val="none" w:sz="0" w:space="0" w:color="auto"/>
            <w:bottom w:val="none" w:sz="0" w:space="0" w:color="auto"/>
            <w:right w:val="none" w:sz="0" w:space="0" w:color="auto"/>
          </w:divBdr>
        </w:div>
      </w:divsChild>
    </w:div>
    <w:div w:id="575164260">
      <w:bodyDiv w:val="1"/>
      <w:marLeft w:val="0"/>
      <w:marRight w:val="0"/>
      <w:marTop w:val="0"/>
      <w:marBottom w:val="0"/>
      <w:divBdr>
        <w:top w:val="none" w:sz="0" w:space="0" w:color="auto"/>
        <w:left w:val="none" w:sz="0" w:space="0" w:color="auto"/>
        <w:bottom w:val="none" w:sz="0" w:space="0" w:color="auto"/>
        <w:right w:val="none" w:sz="0" w:space="0" w:color="auto"/>
      </w:divBdr>
      <w:divsChild>
        <w:div w:id="54397789">
          <w:marLeft w:val="547"/>
          <w:marRight w:val="0"/>
          <w:marTop w:val="200"/>
          <w:marBottom w:val="0"/>
          <w:divBdr>
            <w:top w:val="none" w:sz="0" w:space="0" w:color="auto"/>
            <w:left w:val="none" w:sz="0" w:space="0" w:color="auto"/>
            <w:bottom w:val="none" w:sz="0" w:space="0" w:color="auto"/>
            <w:right w:val="none" w:sz="0" w:space="0" w:color="auto"/>
          </w:divBdr>
        </w:div>
        <w:div w:id="400447218">
          <w:marLeft w:val="547"/>
          <w:marRight w:val="0"/>
          <w:marTop w:val="200"/>
          <w:marBottom w:val="0"/>
          <w:divBdr>
            <w:top w:val="none" w:sz="0" w:space="0" w:color="auto"/>
            <w:left w:val="none" w:sz="0" w:space="0" w:color="auto"/>
            <w:bottom w:val="none" w:sz="0" w:space="0" w:color="auto"/>
            <w:right w:val="none" w:sz="0" w:space="0" w:color="auto"/>
          </w:divBdr>
        </w:div>
        <w:div w:id="429424409">
          <w:marLeft w:val="547"/>
          <w:marRight w:val="0"/>
          <w:marTop w:val="200"/>
          <w:marBottom w:val="0"/>
          <w:divBdr>
            <w:top w:val="none" w:sz="0" w:space="0" w:color="auto"/>
            <w:left w:val="none" w:sz="0" w:space="0" w:color="auto"/>
            <w:bottom w:val="none" w:sz="0" w:space="0" w:color="auto"/>
            <w:right w:val="none" w:sz="0" w:space="0" w:color="auto"/>
          </w:divBdr>
        </w:div>
        <w:div w:id="1932201512">
          <w:marLeft w:val="547"/>
          <w:marRight w:val="0"/>
          <w:marTop w:val="200"/>
          <w:marBottom w:val="0"/>
          <w:divBdr>
            <w:top w:val="none" w:sz="0" w:space="0" w:color="auto"/>
            <w:left w:val="none" w:sz="0" w:space="0" w:color="auto"/>
            <w:bottom w:val="none" w:sz="0" w:space="0" w:color="auto"/>
            <w:right w:val="none" w:sz="0" w:space="0" w:color="auto"/>
          </w:divBdr>
        </w:div>
      </w:divsChild>
    </w:div>
    <w:div w:id="656688477">
      <w:bodyDiv w:val="1"/>
      <w:marLeft w:val="0"/>
      <w:marRight w:val="0"/>
      <w:marTop w:val="0"/>
      <w:marBottom w:val="0"/>
      <w:divBdr>
        <w:top w:val="none" w:sz="0" w:space="0" w:color="auto"/>
        <w:left w:val="none" w:sz="0" w:space="0" w:color="auto"/>
        <w:bottom w:val="none" w:sz="0" w:space="0" w:color="auto"/>
        <w:right w:val="none" w:sz="0" w:space="0" w:color="auto"/>
      </w:divBdr>
      <w:divsChild>
        <w:div w:id="769353857">
          <w:marLeft w:val="547"/>
          <w:marRight w:val="0"/>
          <w:marTop w:val="0"/>
          <w:marBottom w:val="0"/>
          <w:divBdr>
            <w:top w:val="none" w:sz="0" w:space="0" w:color="auto"/>
            <w:left w:val="none" w:sz="0" w:space="0" w:color="auto"/>
            <w:bottom w:val="none" w:sz="0" w:space="0" w:color="auto"/>
            <w:right w:val="none" w:sz="0" w:space="0" w:color="auto"/>
          </w:divBdr>
        </w:div>
        <w:div w:id="937711099">
          <w:marLeft w:val="547"/>
          <w:marRight w:val="0"/>
          <w:marTop w:val="0"/>
          <w:marBottom w:val="0"/>
          <w:divBdr>
            <w:top w:val="none" w:sz="0" w:space="0" w:color="auto"/>
            <w:left w:val="none" w:sz="0" w:space="0" w:color="auto"/>
            <w:bottom w:val="none" w:sz="0" w:space="0" w:color="auto"/>
            <w:right w:val="none" w:sz="0" w:space="0" w:color="auto"/>
          </w:divBdr>
        </w:div>
        <w:div w:id="1389496732">
          <w:marLeft w:val="547"/>
          <w:marRight w:val="0"/>
          <w:marTop w:val="0"/>
          <w:marBottom w:val="0"/>
          <w:divBdr>
            <w:top w:val="none" w:sz="0" w:space="0" w:color="auto"/>
            <w:left w:val="none" w:sz="0" w:space="0" w:color="auto"/>
            <w:bottom w:val="none" w:sz="0" w:space="0" w:color="auto"/>
            <w:right w:val="none" w:sz="0" w:space="0" w:color="auto"/>
          </w:divBdr>
        </w:div>
      </w:divsChild>
    </w:div>
    <w:div w:id="689531257">
      <w:bodyDiv w:val="1"/>
      <w:marLeft w:val="0"/>
      <w:marRight w:val="0"/>
      <w:marTop w:val="0"/>
      <w:marBottom w:val="0"/>
      <w:divBdr>
        <w:top w:val="none" w:sz="0" w:space="0" w:color="auto"/>
        <w:left w:val="none" w:sz="0" w:space="0" w:color="auto"/>
        <w:bottom w:val="none" w:sz="0" w:space="0" w:color="auto"/>
        <w:right w:val="none" w:sz="0" w:space="0" w:color="auto"/>
      </w:divBdr>
      <w:divsChild>
        <w:div w:id="126365667">
          <w:marLeft w:val="446"/>
          <w:marRight w:val="0"/>
          <w:marTop w:val="0"/>
          <w:marBottom w:val="0"/>
          <w:divBdr>
            <w:top w:val="none" w:sz="0" w:space="0" w:color="auto"/>
            <w:left w:val="none" w:sz="0" w:space="0" w:color="auto"/>
            <w:bottom w:val="none" w:sz="0" w:space="0" w:color="auto"/>
            <w:right w:val="none" w:sz="0" w:space="0" w:color="auto"/>
          </w:divBdr>
        </w:div>
        <w:div w:id="2128230715">
          <w:marLeft w:val="446"/>
          <w:marRight w:val="0"/>
          <w:marTop w:val="0"/>
          <w:marBottom w:val="0"/>
          <w:divBdr>
            <w:top w:val="none" w:sz="0" w:space="0" w:color="auto"/>
            <w:left w:val="none" w:sz="0" w:space="0" w:color="auto"/>
            <w:bottom w:val="none" w:sz="0" w:space="0" w:color="auto"/>
            <w:right w:val="none" w:sz="0" w:space="0" w:color="auto"/>
          </w:divBdr>
        </w:div>
      </w:divsChild>
    </w:div>
    <w:div w:id="858088031">
      <w:bodyDiv w:val="1"/>
      <w:marLeft w:val="0"/>
      <w:marRight w:val="0"/>
      <w:marTop w:val="0"/>
      <w:marBottom w:val="0"/>
      <w:divBdr>
        <w:top w:val="none" w:sz="0" w:space="0" w:color="auto"/>
        <w:left w:val="none" w:sz="0" w:space="0" w:color="auto"/>
        <w:bottom w:val="none" w:sz="0" w:space="0" w:color="auto"/>
        <w:right w:val="none" w:sz="0" w:space="0" w:color="auto"/>
      </w:divBdr>
    </w:div>
    <w:div w:id="928393835">
      <w:bodyDiv w:val="1"/>
      <w:marLeft w:val="0"/>
      <w:marRight w:val="0"/>
      <w:marTop w:val="0"/>
      <w:marBottom w:val="0"/>
      <w:divBdr>
        <w:top w:val="none" w:sz="0" w:space="0" w:color="auto"/>
        <w:left w:val="none" w:sz="0" w:space="0" w:color="auto"/>
        <w:bottom w:val="none" w:sz="0" w:space="0" w:color="auto"/>
        <w:right w:val="none" w:sz="0" w:space="0" w:color="auto"/>
      </w:divBdr>
      <w:divsChild>
        <w:div w:id="415203148">
          <w:marLeft w:val="547"/>
          <w:marRight w:val="0"/>
          <w:marTop w:val="120"/>
          <w:marBottom w:val="0"/>
          <w:divBdr>
            <w:top w:val="none" w:sz="0" w:space="0" w:color="auto"/>
            <w:left w:val="none" w:sz="0" w:space="0" w:color="auto"/>
            <w:bottom w:val="none" w:sz="0" w:space="0" w:color="auto"/>
            <w:right w:val="none" w:sz="0" w:space="0" w:color="auto"/>
          </w:divBdr>
        </w:div>
        <w:div w:id="597641240">
          <w:marLeft w:val="547"/>
          <w:marRight w:val="0"/>
          <w:marTop w:val="120"/>
          <w:marBottom w:val="0"/>
          <w:divBdr>
            <w:top w:val="none" w:sz="0" w:space="0" w:color="auto"/>
            <w:left w:val="none" w:sz="0" w:space="0" w:color="auto"/>
            <w:bottom w:val="none" w:sz="0" w:space="0" w:color="auto"/>
            <w:right w:val="none" w:sz="0" w:space="0" w:color="auto"/>
          </w:divBdr>
        </w:div>
        <w:div w:id="727459562">
          <w:marLeft w:val="547"/>
          <w:marRight w:val="0"/>
          <w:marTop w:val="120"/>
          <w:marBottom w:val="0"/>
          <w:divBdr>
            <w:top w:val="none" w:sz="0" w:space="0" w:color="auto"/>
            <w:left w:val="none" w:sz="0" w:space="0" w:color="auto"/>
            <w:bottom w:val="none" w:sz="0" w:space="0" w:color="auto"/>
            <w:right w:val="none" w:sz="0" w:space="0" w:color="auto"/>
          </w:divBdr>
        </w:div>
        <w:div w:id="840318714">
          <w:marLeft w:val="547"/>
          <w:marRight w:val="0"/>
          <w:marTop w:val="120"/>
          <w:marBottom w:val="0"/>
          <w:divBdr>
            <w:top w:val="none" w:sz="0" w:space="0" w:color="auto"/>
            <w:left w:val="none" w:sz="0" w:space="0" w:color="auto"/>
            <w:bottom w:val="none" w:sz="0" w:space="0" w:color="auto"/>
            <w:right w:val="none" w:sz="0" w:space="0" w:color="auto"/>
          </w:divBdr>
        </w:div>
        <w:div w:id="1055665100">
          <w:marLeft w:val="547"/>
          <w:marRight w:val="0"/>
          <w:marTop w:val="120"/>
          <w:marBottom w:val="0"/>
          <w:divBdr>
            <w:top w:val="none" w:sz="0" w:space="0" w:color="auto"/>
            <w:left w:val="none" w:sz="0" w:space="0" w:color="auto"/>
            <w:bottom w:val="none" w:sz="0" w:space="0" w:color="auto"/>
            <w:right w:val="none" w:sz="0" w:space="0" w:color="auto"/>
          </w:divBdr>
        </w:div>
        <w:div w:id="1302271490">
          <w:marLeft w:val="547"/>
          <w:marRight w:val="0"/>
          <w:marTop w:val="120"/>
          <w:marBottom w:val="0"/>
          <w:divBdr>
            <w:top w:val="none" w:sz="0" w:space="0" w:color="auto"/>
            <w:left w:val="none" w:sz="0" w:space="0" w:color="auto"/>
            <w:bottom w:val="none" w:sz="0" w:space="0" w:color="auto"/>
            <w:right w:val="none" w:sz="0" w:space="0" w:color="auto"/>
          </w:divBdr>
        </w:div>
        <w:div w:id="1590696236">
          <w:marLeft w:val="547"/>
          <w:marRight w:val="0"/>
          <w:marTop w:val="120"/>
          <w:marBottom w:val="0"/>
          <w:divBdr>
            <w:top w:val="none" w:sz="0" w:space="0" w:color="auto"/>
            <w:left w:val="none" w:sz="0" w:space="0" w:color="auto"/>
            <w:bottom w:val="none" w:sz="0" w:space="0" w:color="auto"/>
            <w:right w:val="none" w:sz="0" w:space="0" w:color="auto"/>
          </w:divBdr>
        </w:div>
        <w:div w:id="1800537518">
          <w:marLeft w:val="547"/>
          <w:marRight w:val="0"/>
          <w:marTop w:val="120"/>
          <w:marBottom w:val="0"/>
          <w:divBdr>
            <w:top w:val="none" w:sz="0" w:space="0" w:color="auto"/>
            <w:left w:val="none" w:sz="0" w:space="0" w:color="auto"/>
            <w:bottom w:val="none" w:sz="0" w:space="0" w:color="auto"/>
            <w:right w:val="none" w:sz="0" w:space="0" w:color="auto"/>
          </w:divBdr>
        </w:div>
      </w:divsChild>
    </w:div>
    <w:div w:id="997686174">
      <w:bodyDiv w:val="1"/>
      <w:marLeft w:val="0"/>
      <w:marRight w:val="0"/>
      <w:marTop w:val="0"/>
      <w:marBottom w:val="0"/>
      <w:divBdr>
        <w:top w:val="none" w:sz="0" w:space="0" w:color="auto"/>
        <w:left w:val="none" w:sz="0" w:space="0" w:color="auto"/>
        <w:bottom w:val="none" w:sz="0" w:space="0" w:color="auto"/>
        <w:right w:val="none" w:sz="0" w:space="0" w:color="auto"/>
      </w:divBdr>
      <w:divsChild>
        <w:div w:id="406536775">
          <w:marLeft w:val="547"/>
          <w:marRight w:val="0"/>
          <w:marTop w:val="200"/>
          <w:marBottom w:val="0"/>
          <w:divBdr>
            <w:top w:val="none" w:sz="0" w:space="0" w:color="auto"/>
            <w:left w:val="none" w:sz="0" w:space="0" w:color="auto"/>
            <w:bottom w:val="none" w:sz="0" w:space="0" w:color="auto"/>
            <w:right w:val="none" w:sz="0" w:space="0" w:color="auto"/>
          </w:divBdr>
        </w:div>
        <w:div w:id="495153891">
          <w:marLeft w:val="547"/>
          <w:marRight w:val="0"/>
          <w:marTop w:val="200"/>
          <w:marBottom w:val="0"/>
          <w:divBdr>
            <w:top w:val="none" w:sz="0" w:space="0" w:color="auto"/>
            <w:left w:val="none" w:sz="0" w:space="0" w:color="auto"/>
            <w:bottom w:val="none" w:sz="0" w:space="0" w:color="auto"/>
            <w:right w:val="none" w:sz="0" w:space="0" w:color="auto"/>
          </w:divBdr>
        </w:div>
        <w:div w:id="813333210">
          <w:marLeft w:val="547"/>
          <w:marRight w:val="0"/>
          <w:marTop w:val="200"/>
          <w:marBottom w:val="0"/>
          <w:divBdr>
            <w:top w:val="none" w:sz="0" w:space="0" w:color="auto"/>
            <w:left w:val="none" w:sz="0" w:space="0" w:color="auto"/>
            <w:bottom w:val="none" w:sz="0" w:space="0" w:color="auto"/>
            <w:right w:val="none" w:sz="0" w:space="0" w:color="auto"/>
          </w:divBdr>
        </w:div>
        <w:div w:id="1378045009">
          <w:marLeft w:val="547"/>
          <w:marRight w:val="0"/>
          <w:marTop w:val="200"/>
          <w:marBottom w:val="0"/>
          <w:divBdr>
            <w:top w:val="none" w:sz="0" w:space="0" w:color="auto"/>
            <w:left w:val="none" w:sz="0" w:space="0" w:color="auto"/>
            <w:bottom w:val="none" w:sz="0" w:space="0" w:color="auto"/>
            <w:right w:val="none" w:sz="0" w:space="0" w:color="auto"/>
          </w:divBdr>
        </w:div>
        <w:div w:id="1746104938">
          <w:marLeft w:val="547"/>
          <w:marRight w:val="0"/>
          <w:marTop w:val="200"/>
          <w:marBottom w:val="0"/>
          <w:divBdr>
            <w:top w:val="none" w:sz="0" w:space="0" w:color="auto"/>
            <w:left w:val="none" w:sz="0" w:space="0" w:color="auto"/>
            <w:bottom w:val="none" w:sz="0" w:space="0" w:color="auto"/>
            <w:right w:val="none" w:sz="0" w:space="0" w:color="auto"/>
          </w:divBdr>
        </w:div>
      </w:divsChild>
    </w:div>
    <w:div w:id="1069382425">
      <w:bodyDiv w:val="1"/>
      <w:marLeft w:val="0"/>
      <w:marRight w:val="0"/>
      <w:marTop w:val="0"/>
      <w:marBottom w:val="0"/>
      <w:divBdr>
        <w:top w:val="none" w:sz="0" w:space="0" w:color="auto"/>
        <w:left w:val="none" w:sz="0" w:space="0" w:color="auto"/>
        <w:bottom w:val="none" w:sz="0" w:space="0" w:color="auto"/>
        <w:right w:val="none" w:sz="0" w:space="0" w:color="auto"/>
      </w:divBdr>
    </w:div>
    <w:div w:id="1086339211">
      <w:bodyDiv w:val="1"/>
      <w:marLeft w:val="0"/>
      <w:marRight w:val="0"/>
      <w:marTop w:val="0"/>
      <w:marBottom w:val="0"/>
      <w:divBdr>
        <w:top w:val="none" w:sz="0" w:space="0" w:color="auto"/>
        <w:left w:val="none" w:sz="0" w:space="0" w:color="auto"/>
        <w:bottom w:val="none" w:sz="0" w:space="0" w:color="auto"/>
        <w:right w:val="none" w:sz="0" w:space="0" w:color="auto"/>
      </w:divBdr>
      <w:divsChild>
        <w:div w:id="107895926">
          <w:marLeft w:val="547"/>
          <w:marRight w:val="0"/>
          <w:marTop w:val="120"/>
          <w:marBottom w:val="0"/>
          <w:divBdr>
            <w:top w:val="none" w:sz="0" w:space="0" w:color="auto"/>
            <w:left w:val="none" w:sz="0" w:space="0" w:color="auto"/>
            <w:bottom w:val="none" w:sz="0" w:space="0" w:color="auto"/>
            <w:right w:val="none" w:sz="0" w:space="0" w:color="auto"/>
          </w:divBdr>
        </w:div>
        <w:div w:id="802306896">
          <w:marLeft w:val="547"/>
          <w:marRight w:val="0"/>
          <w:marTop w:val="120"/>
          <w:marBottom w:val="0"/>
          <w:divBdr>
            <w:top w:val="none" w:sz="0" w:space="0" w:color="auto"/>
            <w:left w:val="none" w:sz="0" w:space="0" w:color="auto"/>
            <w:bottom w:val="none" w:sz="0" w:space="0" w:color="auto"/>
            <w:right w:val="none" w:sz="0" w:space="0" w:color="auto"/>
          </w:divBdr>
        </w:div>
        <w:div w:id="901134351">
          <w:marLeft w:val="547"/>
          <w:marRight w:val="0"/>
          <w:marTop w:val="120"/>
          <w:marBottom w:val="0"/>
          <w:divBdr>
            <w:top w:val="none" w:sz="0" w:space="0" w:color="auto"/>
            <w:left w:val="none" w:sz="0" w:space="0" w:color="auto"/>
            <w:bottom w:val="none" w:sz="0" w:space="0" w:color="auto"/>
            <w:right w:val="none" w:sz="0" w:space="0" w:color="auto"/>
          </w:divBdr>
        </w:div>
        <w:div w:id="1085689640">
          <w:marLeft w:val="547"/>
          <w:marRight w:val="0"/>
          <w:marTop w:val="120"/>
          <w:marBottom w:val="0"/>
          <w:divBdr>
            <w:top w:val="none" w:sz="0" w:space="0" w:color="auto"/>
            <w:left w:val="none" w:sz="0" w:space="0" w:color="auto"/>
            <w:bottom w:val="none" w:sz="0" w:space="0" w:color="auto"/>
            <w:right w:val="none" w:sz="0" w:space="0" w:color="auto"/>
          </w:divBdr>
        </w:div>
        <w:div w:id="1650014201">
          <w:marLeft w:val="547"/>
          <w:marRight w:val="0"/>
          <w:marTop w:val="120"/>
          <w:marBottom w:val="0"/>
          <w:divBdr>
            <w:top w:val="none" w:sz="0" w:space="0" w:color="auto"/>
            <w:left w:val="none" w:sz="0" w:space="0" w:color="auto"/>
            <w:bottom w:val="none" w:sz="0" w:space="0" w:color="auto"/>
            <w:right w:val="none" w:sz="0" w:space="0" w:color="auto"/>
          </w:divBdr>
        </w:div>
        <w:div w:id="1664698292">
          <w:marLeft w:val="547"/>
          <w:marRight w:val="0"/>
          <w:marTop w:val="120"/>
          <w:marBottom w:val="0"/>
          <w:divBdr>
            <w:top w:val="none" w:sz="0" w:space="0" w:color="auto"/>
            <w:left w:val="none" w:sz="0" w:space="0" w:color="auto"/>
            <w:bottom w:val="none" w:sz="0" w:space="0" w:color="auto"/>
            <w:right w:val="none" w:sz="0" w:space="0" w:color="auto"/>
          </w:divBdr>
        </w:div>
        <w:div w:id="1730569231">
          <w:marLeft w:val="547"/>
          <w:marRight w:val="0"/>
          <w:marTop w:val="120"/>
          <w:marBottom w:val="0"/>
          <w:divBdr>
            <w:top w:val="none" w:sz="0" w:space="0" w:color="auto"/>
            <w:left w:val="none" w:sz="0" w:space="0" w:color="auto"/>
            <w:bottom w:val="none" w:sz="0" w:space="0" w:color="auto"/>
            <w:right w:val="none" w:sz="0" w:space="0" w:color="auto"/>
          </w:divBdr>
        </w:div>
        <w:div w:id="2076970103">
          <w:marLeft w:val="547"/>
          <w:marRight w:val="0"/>
          <w:marTop w:val="120"/>
          <w:marBottom w:val="0"/>
          <w:divBdr>
            <w:top w:val="none" w:sz="0" w:space="0" w:color="auto"/>
            <w:left w:val="none" w:sz="0" w:space="0" w:color="auto"/>
            <w:bottom w:val="none" w:sz="0" w:space="0" w:color="auto"/>
            <w:right w:val="none" w:sz="0" w:space="0" w:color="auto"/>
          </w:divBdr>
        </w:div>
      </w:divsChild>
    </w:div>
    <w:div w:id="1108810728">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sChild>
        <w:div w:id="113986857">
          <w:marLeft w:val="446"/>
          <w:marRight w:val="0"/>
          <w:marTop w:val="0"/>
          <w:marBottom w:val="0"/>
          <w:divBdr>
            <w:top w:val="none" w:sz="0" w:space="0" w:color="auto"/>
            <w:left w:val="none" w:sz="0" w:space="0" w:color="auto"/>
            <w:bottom w:val="none" w:sz="0" w:space="0" w:color="auto"/>
            <w:right w:val="none" w:sz="0" w:space="0" w:color="auto"/>
          </w:divBdr>
        </w:div>
      </w:divsChild>
    </w:div>
    <w:div w:id="1175917958">
      <w:bodyDiv w:val="1"/>
      <w:marLeft w:val="0"/>
      <w:marRight w:val="0"/>
      <w:marTop w:val="0"/>
      <w:marBottom w:val="0"/>
      <w:divBdr>
        <w:top w:val="none" w:sz="0" w:space="0" w:color="auto"/>
        <w:left w:val="none" w:sz="0" w:space="0" w:color="auto"/>
        <w:bottom w:val="none" w:sz="0" w:space="0" w:color="auto"/>
        <w:right w:val="none" w:sz="0" w:space="0" w:color="auto"/>
      </w:divBdr>
      <w:divsChild>
        <w:div w:id="38863900">
          <w:marLeft w:val="1354"/>
          <w:marRight w:val="0"/>
          <w:marTop w:val="0"/>
          <w:marBottom w:val="0"/>
          <w:divBdr>
            <w:top w:val="none" w:sz="0" w:space="0" w:color="auto"/>
            <w:left w:val="none" w:sz="0" w:space="0" w:color="auto"/>
            <w:bottom w:val="none" w:sz="0" w:space="0" w:color="auto"/>
            <w:right w:val="none" w:sz="0" w:space="0" w:color="auto"/>
          </w:divBdr>
        </w:div>
        <w:div w:id="167255554">
          <w:marLeft w:val="547"/>
          <w:marRight w:val="0"/>
          <w:marTop w:val="0"/>
          <w:marBottom w:val="0"/>
          <w:divBdr>
            <w:top w:val="none" w:sz="0" w:space="0" w:color="auto"/>
            <w:left w:val="none" w:sz="0" w:space="0" w:color="auto"/>
            <w:bottom w:val="none" w:sz="0" w:space="0" w:color="auto"/>
            <w:right w:val="none" w:sz="0" w:space="0" w:color="auto"/>
          </w:divBdr>
        </w:div>
        <w:div w:id="323245427">
          <w:marLeft w:val="1354"/>
          <w:marRight w:val="0"/>
          <w:marTop w:val="0"/>
          <w:marBottom w:val="0"/>
          <w:divBdr>
            <w:top w:val="none" w:sz="0" w:space="0" w:color="auto"/>
            <w:left w:val="none" w:sz="0" w:space="0" w:color="auto"/>
            <w:bottom w:val="none" w:sz="0" w:space="0" w:color="auto"/>
            <w:right w:val="none" w:sz="0" w:space="0" w:color="auto"/>
          </w:divBdr>
        </w:div>
        <w:div w:id="432286196">
          <w:marLeft w:val="1354"/>
          <w:marRight w:val="0"/>
          <w:marTop w:val="0"/>
          <w:marBottom w:val="0"/>
          <w:divBdr>
            <w:top w:val="none" w:sz="0" w:space="0" w:color="auto"/>
            <w:left w:val="none" w:sz="0" w:space="0" w:color="auto"/>
            <w:bottom w:val="none" w:sz="0" w:space="0" w:color="auto"/>
            <w:right w:val="none" w:sz="0" w:space="0" w:color="auto"/>
          </w:divBdr>
        </w:div>
        <w:div w:id="520822255">
          <w:marLeft w:val="1354"/>
          <w:marRight w:val="0"/>
          <w:marTop w:val="0"/>
          <w:marBottom w:val="0"/>
          <w:divBdr>
            <w:top w:val="none" w:sz="0" w:space="0" w:color="auto"/>
            <w:left w:val="none" w:sz="0" w:space="0" w:color="auto"/>
            <w:bottom w:val="none" w:sz="0" w:space="0" w:color="auto"/>
            <w:right w:val="none" w:sz="0" w:space="0" w:color="auto"/>
          </w:divBdr>
        </w:div>
        <w:div w:id="640115546">
          <w:marLeft w:val="1354"/>
          <w:marRight w:val="0"/>
          <w:marTop w:val="0"/>
          <w:marBottom w:val="0"/>
          <w:divBdr>
            <w:top w:val="none" w:sz="0" w:space="0" w:color="auto"/>
            <w:left w:val="none" w:sz="0" w:space="0" w:color="auto"/>
            <w:bottom w:val="none" w:sz="0" w:space="0" w:color="auto"/>
            <w:right w:val="none" w:sz="0" w:space="0" w:color="auto"/>
          </w:divBdr>
        </w:div>
        <w:div w:id="839732675">
          <w:marLeft w:val="1354"/>
          <w:marRight w:val="0"/>
          <w:marTop w:val="0"/>
          <w:marBottom w:val="0"/>
          <w:divBdr>
            <w:top w:val="none" w:sz="0" w:space="0" w:color="auto"/>
            <w:left w:val="none" w:sz="0" w:space="0" w:color="auto"/>
            <w:bottom w:val="none" w:sz="0" w:space="0" w:color="auto"/>
            <w:right w:val="none" w:sz="0" w:space="0" w:color="auto"/>
          </w:divBdr>
        </w:div>
        <w:div w:id="926110389">
          <w:marLeft w:val="1354"/>
          <w:marRight w:val="0"/>
          <w:marTop w:val="0"/>
          <w:marBottom w:val="0"/>
          <w:divBdr>
            <w:top w:val="none" w:sz="0" w:space="0" w:color="auto"/>
            <w:left w:val="none" w:sz="0" w:space="0" w:color="auto"/>
            <w:bottom w:val="none" w:sz="0" w:space="0" w:color="auto"/>
            <w:right w:val="none" w:sz="0" w:space="0" w:color="auto"/>
          </w:divBdr>
        </w:div>
        <w:div w:id="1192301872">
          <w:marLeft w:val="1354"/>
          <w:marRight w:val="0"/>
          <w:marTop w:val="0"/>
          <w:marBottom w:val="0"/>
          <w:divBdr>
            <w:top w:val="none" w:sz="0" w:space="0" w:color="auto"/>
            <w:left w:val="none" w:sz="0" w:space="0" w:color="auto"/>
            <w:bottom w:val="none" w:sz="0" w:space="0" w:color="auto"/>
            <w:right w:val="none" w:sz="0" w:space="0" w:color="auto"/>
          </w:divBdr>
        </w:div>
        <w:div w:id="1261332102">
          <w:marLeft w:val="1354"/>
          <w:marRight w:val="0"/>
          <w:marTop w:val="0"/>
          <w:marBottom w:val="0"/>
          <w:divBdr>
            <w:top w:val="none" w:sz="0" w:space="0" w:color="auto"/>
            <w:left w:val="none" w:sz="0" w:space="0" w:color="auto"/>
            <w:bottom w:val="none" w:sz="0" w:space="0" w:color="auto"/>
            <w:right w:val="none" w:sz="0" w:space="0" w:color="auto"/>
          </w:divBdr>
        </w:div>
        <w:div w:id="1483429378">
          <w:marLeft w:val="547"/>
          <w:marRight w:val="0"/>
          <w:marTop w:val="0"/>
          <w:marBottom w:val="0"/>
          <w:divBdr>
            <w:top w:val="none" w:sz="0" w:space="0" w:color="auto"/>
            <w:left w:val="none" w:sz="0" w:space="0" w:color="auto"/>
            <w:bottom w:val="none" w:sz="0" w:space="0" w:color="auto"/>
            <w:right w:val="none" w:sz="0" w:space="0" w:color="auto"/>
          </w:divBdr>
        </w:div>
        <w:div w:id="1588005274">
          <w:marLeft w:val="1354"/>
          <w:marRight w:val="0"/>
          <w:marTop w:val="0"/>
          <w:marBottom w:val="0"/>
          <w:divBdr>
            <w:top w:val="none" w:sz="0" w:space="0" w:color="auto"/>
            <w:left w:val="none" w:sz="0" w:space="0" w:color="auto"/>
            <w:bottom w:val="none" w:sz="0" w:space="0" w:color="auto"/>
            <w:right w:val="none" w:sz="0" w:space="0" w:color="auto"/>
          </w:divBdr>
        </w:div>
        <w:div w:id="1782068148">
          <w:marLeft w:val="1354"/>
          <w:marRight w:val="0"/>
          <w:marTop w:val="0"/>
          <w:marBottom w:val="0"/>
          <w:divBdr>
            <w:top w:val="none" w:sz="0" w:space="0" w:color="auto"/>
            <w:left w:val="none" w:sz="0" w:space="0" w:color="auto"/>
            <w:bottom w:val="none" w:sz="0" w:space="0" w:color="auto"/>
            <w:right w:val="none" w:sz="0" w:space="0" w:color="auto"/>
          </w:divBdr>
        </w:div>
        <w:div w:id="1954239778">
          <w:marLeft w:val="1354"/>
          <w:marRight w:val="0"/>
          <w:marTop w:val="0"/>
          <w:marBottom w:val="0"/>
          <w:divBdr>
            <w:top w:val="none" w:sz="0" w:space="0" w:color="auto"/>
            <w:left w:val="none" w:sz="0" w:space="0" w:color="auto"/>
            <w:bottom w:val="none" w:sz="0" w:space="0" w:color="auto"/>
            <w:right w:val="none" w:sz="0" w:space="0" w:color="auto"/>
          </w:divBdr>
        </w:div>
        <w:div w:id="2026706081">
          <w:marLeft w:val="547"/>
          <w:marRight w:val="0"/>
          <w:marTop w:val="0"/>
          <w:marBottom w:val="0"/>
          <w:divBdr>
            <w:top w:val="none" w:sz="0" w:space="0" w:color="auto"/>
            <w:left w:val="none" w:sz="0" w:space="0" w:color="auto"/>
            <w:bottom w:val="none" w:sz="0" w:space="0" w:color="auto"/>
            <w:right w:val="none" w:sz="0" w:space="0" w:color="auto"/>
          </w:divBdr>
        </w:div>
      </w:divsChild>
    </w:div>
    <w:div w:id="1224758379">
      <w:bodyDiv w:val="1"/>
      <w:marLeft w:val="0"/>
      <w:marRight w:val="0"/>
      <w:marTop w:val="0"/>
      <w:marBottom w:val="0"/>
      <w:divBdr>
        <w:top w:val="none" w:sz="0" w:space="0" w:color="auto"/>
        <w:left w:val="none" w:sz="0" w:space="0" w:color="auto"/>
        <w:bottom w:val="none" w:sz="0" w:space="0" w:color="auto"/>
        <w:right w:val="none" w:sz="0" w:space="0" w:color="auto"/>
      </w:divBdr>
      <w:divsChild>
        <w:div w:id="237718193">
          <w:marLeft w:val="547"/>
          <w:marRight w:val="0"/>
          <w:marTop w:val="0"/>
          <w:marBottom w:val="0"/>
          <w:divBdr>
            <w:top w:val="none" w:sz="0" w:space="0" w:color="auto"/>
            <w:left w:val="none" w:sz="0" w:space="0" w:color="auto"/>
            <w:bottom w:val="none" w:sz="0" w:space="0" w:color="auto"/>
            <w:right w:val="none" w:sz="0" w:space="0" w:color="auto"/>
          </w:divBdr>
        </w:div>
        <w:div w:id="503282001">
          <w:marLeft w:val="547"/>
          <w:marRight w:val="0"/>
          <w:marTop w:val="0"/>
          <w:marBottom w:val="0"/>
          <w:divBdr>
            <w:top w:val="none" w:sz="0" w:space="0" w:color="auto"/>
            <w:left w:val="none" w:sz="0" w:space="0" w:color="auto"/>
            <w:bottom w:val="none" w:sz="0" w:space="0" w:color="auto"/>
            <w:right w:val="none" w:sz="0" w:space="0" w:color="auto"/>
          </w:divBdr>
        </w:div>
        <w:div w:id="639454786">
          <w:marLeft w:val="547"/>
          <w:marRight w:val="0"/>
          <w:marTop w:val="0"/>
          <w:marBottom w:val="0"/>
          <w:divBdr>
            <w:top w:val="none" w:sz="0" w:space="0" w:color="auto"/>
            <w:left w:val="none" w:sz="0" w:space="0" w:color="auto"/>
            <w:bottom w:val="none" w:sz="0" w:space="0" w:color="auto"/>
            <w:right w:val="none" w:sz="0" w:space="0" w:color="auto"/>
          </w:divBdr>
        </w:div>
      </w:divsChild>
    </w:div>
    <w:div w:id="1245918366">
      <w:bodyDiv w:val="1"/>
      <w:marLeft w:val="0"/>
      <w:marRight w:val="0"/>
      <w:marTop w:val="0"/>
      <w:marBottom w:val="0"/>
      <w:divBdr>
        <w:top w:val="none" w:sz="0" w:space="0" w:color="auto"/>
        <w:left w:val="none" w:sz="0" w:space="0" w:color="auto"/>
        <w:bottom w:val="none" w:sz="0" w:space="0" w:color="auto"/>
        <w:right w:val="none" w:sz="0" w:space="0" w:color="auto"/>
      </w:divBdr>
      <w:divsChild>
        <w:div w:id="853113434">
          <w:marLeft w:val="547"/>
          <w:marRight w:val="0"/>
          <w:marTop w:val="0"/>
          <w:marBottom w:val="0"/>
          <w:divBdr>
            <w:top w:val="none" w:sz="0" w:space="0" w:color="auto"/>
            <w:left w:val="none" w:sz="0" w:space="0" w:color="auto"/>
            <w:bottom w:val="none" w:sz="0" w:space="0" w:color="auto"/>
            <w:right w:val="none" w:sz="0" w:space="0" w:color="auto"/>
          </w:divBdr>
        </w:div>
        <w:div w:id="1290430873">
          <w:marLeft w:val="547"/>
          <w:marRight w:val="0"/>
          <w:marTop w:val="0"/>
          <w:marBottom w:val="0"/>
          <w:divBdr>
            <w:top w:val="none" w:sz="0" w:space="0" w:color="auto"/>
            <w:left w:val="none" w:sz="0" w:space="0" w:color="auto"/>
            <w:bottom w:val="none" w:sz="0" w:space="0" w:color="auto"/>
            <w:right w:val="none" w:sz="0" w:space="0" w:color="auto"/>
          </w:divBdr>
        </w:div>
        <w:div w:id="2071803332">
          <w:marLeft w:val="547"/>
          <w:marRight w:val="0"/>
          <w:marTop w:val="0"/>
          <w:marBottom w:val="0"/>
          <w:divBdr>
            <w:top w:val="none" w:sz="0" w:space="0" w:color="auto"/>
            <w:left w:val="none" w:sz="0" w:space="0" w:color="auto"/>
            <w:bottom w:val="none" w:sz="0" w:space="0" w:color="auto"/>
            <w:right w:val="none" w:sz="0" w:space="0" w:color="auto"/>
          </w:divBdr>
        </w:div>
      </w:divsChild>
    </w:div>
    <w:div w:id="1257253135">
      <w:bodyDiv w:val="1"/>
      <w:marLeft w:val="0"/>
      <w:marRight w:val="0"/>
      <w:marTop w:val="0"/>
      <w:marBottom w:val="0"/>
      <w:divBdr>
        <w:top w:val="none" w:sz="0" w:space="0" w:color="auto"/>
        <w:left w:val="none" w:sz="0" w:space="0" w:color="auto"/>
        <w:bottom w:val="none" w:sz="0" w:space="0" w:color="auto"/>
        <w:right w:val="none" w:sz="0" w:space="0" w:color="auto"/>
      </w:divBdr>
      <w:divsChild>
        <w:div w:id="6518252">
          <w:marLeft w:val="547"/>
          <w:marRight w:val="0"/>
          <w:marTop w:val="200"/>
          <w:marBottom w:val="0"/>
          <w:divBdr>
            <w:top w:val="none" w:sz="0" w:space="0" w:color="auto"/>
            <w:left w:val="none" w:sz="0" w:space="0" w:color="auto"/>
            <w:bottom w:val="none" w:sz="0" w:space="0" w:color="auto"/>
            <w:right w:val="none" w:sz="0" w:space="0" w:color="auto"/>
          </w:divBdr>
        </w:div>
        <w:div w:id="14313893">
          <w:marLeft w:val="547"/>
          <w:marRight w:val="0"/>
          <w:marTop w:val="200"/>
          <w:marBottom w:val="0"/>
          <w:divBdr>
            <w:top w:val="none" w:sz="0" w:space="0" w:color="auto"/>
            <w:left w:val="none" w:sz="0" w:space="0" w:color="auto"/>
            <w:bottom w:val="none" w:sz="0" w:space="0" w:color="auto"/>
            <w:right w:val="none" w:sz="0" w:space="0" w:color="auto"/>
          </w:divBdr>
        </w:div>
        <w:div w:id="316809489">
          <w:marLeft w:val="547"/>
          <w:marRight w:val="0"/>
          <w:marTop w:val="200"/>
          <w:marBottom w:val="0"/>
          <w:divBdr>
            <w:top w:val="none" w:sz="0" w:space="0" w:color="auto"/>
            <w:left w:val="none" w:sz="0" w:space="0" w:color="auto"/>
            <w:bottom w:val="none" w:sz="0" w:space="0" w:color="auto"/>
            <w:right w:val="none" w:sz="0" w:space="0" w:color="auto"/>
          </w:divBdr>
        </w:div>
        <w:div w:id="405689455">
          <w:marLeft w:val="547"/>
          <w:marRight w:val="0"/>
          <w:marTop w:val="200"/>
          <w:marBottom w:val="0"/>
          <w:divBdr>
            <w:top w:val="none" w:sz="0" w:space="0" w:color="auto"/>
            <w:left w:val="none" w:sz="0" w:space="0" w:color="auto"/>
            <w:bottom w:val="none" w:sz="0" w:space="0" w:color="auto"/>
            <w:right w:val="none" w:sz="0" w:space="0" w:color="auto"/>
          </w:divBdr>
        </w:div>
        <w:div w:id="896627870">
          <w:marLeft w:val="547"/>
          <w:marRight w:val="0"/>
          <w:marTop w:val="200"/>
          <w:marBottom w:val="0"/>
          <w:divBdr>
            <w:top w:val="none" w:sz="0" w:space="0" w:color="auto"/>
            <w:left w:val="none" w:sz="0" w:space="0" w:color="auto"/>
            <w:bottom w:val="none" w:sz="0" w:space="0" w:color="auto"/>
            <w:right w:val="none" w:sz="0" w:space="0" w:color="auto"/>
          </w:divBdr>
        </w:div>
        <w:div w:id="1123186418">
          <w:marLeft w:val="547"/>
          <w:marRight w:val="0"/>
          <w:marTop w:val="200"/>
          <w:marBottom w:val="0"/>
          <w:divBdr>
            <w:top w:val="none" w:sz="0" w:space="0" w:color="auto"/>
            <w:left w:val="none" w:sz="0" w:space="0" w:color="auto"/>
            <w:bottom w:val="none" w:sz="0" w:space="0" w:color="auto"/>
            <w:right w:val="none" w:sz="0" w:space="0" w:color="auto"/>
          </w:divBdr>
        </w:div>
        <w:div w:id="1197305057">
          <w:marLeft w:val="547"/>
          <w:marRight w:val="0"/>
          <w:marTop w:val="200"/>
          <w:marBottom w:val="0"/>
          <w:divBdr>
            <w:top w:val="none" w:sz="0" w:space="0" w:color="auto"/>
            <w:left w:val="none" w:sz="0" w:space="0" w:color="auto"/>
            <w:bottom w:val="none" w:sz="0" w:space="0" w:color="auto"/>
            <w:right w:val="none" w:sz="0" w:space="0" w:color="auto"/>
          </w:divBdr>
        </w:div>
        <w:div w:id="1579630357">
          <w:marLeft w:val="547"/>
          <w:marRight w:val="0"/>
          <w:marTop w:val="200"/>
          <w:marBottom w:val="0"/>
          <w:divBdr>
            <w:top w:val="none" w:sz="0" w:space="0" w:color="auto"/>
            <w:left w:val="none" w:sz="0" w:space="0" w:color="auto"/>
            <w:bottom w:val="none" w:sz="0" w:space="0" w:color="auto"/>
            <w:right w:val="none" w:sz="0" w:space="0" w:color="auto"/>
          </w:divBdr>
        </w:div>
        <w:div w:id="1807770971">
          <w:marLeft w:val="547"/>
          <w:marRight w:val="0"/>
          <w:marTop w:val="200"/>
          <w:marBottom w:val="0"/>
          <w:divBdr>
            <w:top w:val="none" w:sz="0" w:space="0" w:color="auto"/>
            <w:left w:val="none" w:sz="0" w:space="0" w:color="auto"/>
            <w:bottom w:val="none" w:sz="0" w:space="0" w:color="auto"/>
            <w:right w:val="none" w:sz="0" w:space="0" w:color="auto"/>
          </w:divBdr>
        </w:div>
      </w:divsChild>
    </w:div>
    <w:div w:id="1294100179">
      <w:bodyDiv w:val="1"/>
      <w:marLeft w:val="0"/>
      <w:marRight w:val="0"/>
      <w:marTop w:val="0"/>
      <w:marBottom w:val="0"/>
      <w:divBdr>
        <w:top w:val="none" w:sz="0" w:space="0" w:color="auto"/>
        <w:left w:val="none" w:sz="0" w:space="0" w:color="auto"/>
        <w:bottom w:val="none" w:sz="0" w:space="0" w:color="auto"/>
        <w:right w:val="none" w:sz="0" w:space="0" w:color="auto"/>
      </w:divBdr>
    </w:div>
    <w:div w:id="1298072697">
      <w:bodyDiv w:val="1"/>
      <w:marLeft w:val="0"/>
      <w:marRight w:val="0"/>
      <w:marTop w:val="0"/>
      <w:marBottom w:val="0"/>
      <w:divBdr>
        <w:top w:val="none" w:sz="0" w:space="0" w:color="auto"/>
        <w:left w:val="none" w:sz="0" w:space="0" w:color="auto"/>
        <w:bottom w:val="none" w:sz="0" w:space="0" w:color="auto"/>
        <w:right w:val="none" w:sz="0" w:space="0" w:color="auto"/>
      </w:divBdr>
      <w:divsChild>
        <w:div w:id="194468823">
          <w:marLeft w:val="446"/>
          <w:marRight w:val="0"/>
          <w:marTop w:val="0"/>
          <w:marBottom w:val="0"/>
          <w:divBdr>
            <w:top w:val="none" w:sz="0" w:space="0" w:color="auto"/>
            <w:left w:val="none" w:sz="0" w:space="0" w:color="auto"/>
            <w:bottom w:val="none" w:sz="0" w:space="0" w:color="auto"/>
            <w:right w:val="none" w:sz="0" w:space="0" w:color="auto"/>
          </w:divBdr>
        </w:div>
        <w:div w:id="437218029">
          <w:marLeft w:val="446"/>
          <w:marRight w:val="0"/>
          <w:marTop w:val="0"/>
          <w:marBottom w:val="0"/>
          <w:divBdr>
            <w:top w:val="none" w:sz="0" w:space="0" w:color="auto"/>
            <w:left w:val="none" w:sz="0" w:space="0" w:color="auto"/>
            <w:bottom w:val="none" w:sz="0" w:space="0" w:color="auto"/>
            <w:right w:val="none" w:sz="0" w:space="0" w:color="auto"/>
          </w:divBdr>
        </w:div>
        <w:div w:id="1017848946">
          <w:marLeft w:val="446"/>
          <w:marRight w:val="0"/>
          <w:marTop w:val="0"/>
          <w:marBottom w:val="0"/>
          <w:divBdr>
            <w:top w:val="none" w:sz="0" w:space="0" w:color="auto"/>
            <w:left w:val="none" w:sz="0" w:space="0" w:color="auto"/>
            <w:bottom w:val="none" w:sz="0" w:space="0" w:color="auto"/>
            <w:right w:val="none" w:sz="0" w:space="0" w:color="auto"/>
          </w:divBdr>
        </w:div>
      </w:divsChild>
    </w:div>
    <w:div w:id="1316686134">
      <w:bodyDiv w:val="1"/>
      <w:marLeft w:val="0"/>
      <w:marRight w:val="0"/>
      <w:marTop w:val="0"/>
      <w:marBottom w:val="0"/>
      <w:divBdr>
        <w:top w:val="none" w:sz="0" w:space="0" w:color="auto"/>
        <w:left w:val="none" w:sz="0" w:space="0" w:color="auto"/>
        <w:bottom w:val="none" w:sz="0" w:space="0" w:color="auto"/>
        <w:right w:val="none" w:sz="0" w:space="0" w:color="auto"/>
      </w:divBdr>
      <w:divsChild>
        <w:div w:id="345794050">
          <w:marLeft w:val="446"/>
          <w:marRight w:val="0"/>
          <w:marTop w:val="0"/>
          <w:marBottom w:val="0"/>
          <w:divBdr>
            <w:top w:val="none" w:sz="0" w:space="0" w:color="auto"/>
            <w:left w:val="none" w:sz="0" w:space="0" w:color="auto"/>
            <w:bottom w:val="none" w:sz="0" w:space="0" w:color="auto"/>
            <w:right w:val="none" w:sz="0" w:space="0" w:color="auto"/>
          </w:divBdr>
        </w:div>
        <w:div w:id="800927897">
          <w:marLeft w:val="446"/>
          <w:marRight w:val="0"/>
          <w:marTop w:val="0"/>
          <w:marBottom w:val="0"/>
          <w:divBdr>
            <w:top w:val="none" w:sz="0" w:space="0" w:color="auto"/>
            <w:left w:val="none" w:sz="0" w:space="0" w:color="auto"/>
            <w:bottom w:val="none" w:sz="0" w:space="0" w:color="auto"/>
            <w:right w:val="none" w:sz="0" w:space="0" w:color="auto"/>
          </w:divBdr>
        </w:div>
        <w:div w:id="1873224391">
          <w:marLeft w:val="446"/>
          <w:marRight w:val="0"/>
          <w:marTop w:val="0"/>
          <w:marBottom w:val="0"/>
          <w:divBdr>
            <w:top w:val="none" w:sz="0" w:space="0" w:color="auto"/>
            <w:left w:val="none" w:sz="0" w:space="0" w:color="auto"/>
            <w:bottom w:val="none" w:sz="0" w:space="0" w:color="auto"/>
            <w:right w:val="none" w:sz="0" w:space="0" w:color="auto"/>
          </w:divBdr>
        </w:div>
      </w:divsChild>
    </w:div>
    <w:div w:id="1330601224">
      <w:bodyDiv w:val="1"/>
      <w:marLeft w:val="0"/>
      <w:marRight w:val="0"/>
      <w:marTop w:val="0"/>
      <w:marBottom w:val="0"/>
      <w:divBdr>
        <w:top w:val="none" w:sz="0" w:space="0" w:color="auto"/>
        <w:left w:val="none" w:sz="0" w:space="0" w:color="auto"/>
        <w:bottom w:val="none" w:sz="0" w:space="0" w:color="auto"/>
        <w:right w:val="none" w:sz="0" w:space="0" w:color="auto"/>
      </w:divBdr>
    </w:div>
    <w:div w:id="1335255804">
      <w:bodyDiv w:val="1"/>
      <w:marLeft w:val="0"/>
      <w:marRight w:val="0"/>
      <w:marTop w:val="0"/>
      <w:marBottom w:val="0"/>
      <w:divBdr>
        <w:top w:val="none" w:sz="0" w:space="0" w:color="auto"/>
        <w:left w:val="none" w:sz="0" w:space="0" w:color="auto"/>
        <w:bottom w:val="none" w:sz="0" w:space="0" w:color="auto"/>
        <w:right w:val="none" w:sz="0" w:space="0" w:color="auto"/>
      </w:divBdr>
    </w:div>
    <w:div w:id="1345209470">
      <w:bodyDiv w:val="1"/>
      <w:marLeft w:val="0"/>
      <w:marRight w:val="0"/>
      <w:marTop w:val="0"/>
      <w:marBottom w:val="0"/>
      <w:divBdr>
        <w:top w:val="none" w:sz="0" w:space="0" w:color="auto"/>
        <w:left w:val="none" w:sz="0" w:space="0" w:color="auto"/>
        <w:bottom w:val="none" w:sz="0" w:space="0" w:color="auto"/>
        <w:right w:val="none" w:sz="0" w:space="0" w:color="auto"/>
      </w:divBdr>
      <w:divsChild>
        <w:div w:id="1989702793">
          <w:marLeft w:val="446"/>
          <w:marRight w:val="0"/>
          <w:marTop w:val="0"/>
          <w:marBottom w:val="0"/>
          <w:divBdr>
            <w:top w:val="none" w:sz="0" w:space="0" w:color="auto"/>
            <w:left w:val="none" w:sz="0" w:space="0" w:color="auto"/>
            <w:bottom w:val="none" w:sz="0" w:space="0" w:color="auto"/>
            <w:right w:val="none" w:sz="0" w:space="0" w:color="auto"/>
          </w:divBdr>
        </w:div>
      </w:divsChild>
    </w:div>
    <w:div w:id="1354261860">
      <w:bodyDiv w:val="1"/>
      <w:marLeft w:val="0"/>
      <w:marRight w:val="0"/>
      <w:marTop w:val="0"/>
      <w:marBottom w:val="0"/>
      <w:divBdr>
        <w:top w:val="none" w:sz="0" w:space="0" w:color="auto"/>
        <w:left w:val="none" w:sz="0" w:space="0" w:color="auto"/>
        <w:bottom w:val="none" w:sz="0" w:space="0" w:color="auto"/>
        <w:right w:val="none" w:sz="0" w:space="0" w:color="auto"/>
      </w:divBdr>
    </w:div>
    <w:div w:id="1356688636">
      <w:bodyDiv w:val="1"/>
      <w:marLeft w:val="0"/>
      <w:marRight w:val="0"/>
      <w:marTop w:val="0"/>
      <w:marBottom w:val="0"/>
      <w:divBdr>
        <w:top w:val="none" w:sz="0" w:space="0" w:color="auto"/>
        <w:left w:val="none" w:sz="0" w:space="0" w:color="auto"/>
        <w:bottom w:val="none" w:sz="0" w:space="0" w:color="auto"/>
        <w:right w:val="none" w:sz="0" w:space="0" w:color="auto"/>
      </w:divBdr>
      <w:divsChild>
        <w:div w:id="17853650">
          <w:marLeft w:val="446"/>
          <w:marRight w:val="0"/>
          <w:marTop w:val="0"/>
          <w:marBottom w:val="0"/>
          <w:divBdr>
            <w:top w:val="none" w:sz="0" w:space="0" w:color="auto"/>
            <w:left w:val="none" w:sz="0" w:space="0" w:color="auto"/>
            <w:bottom w:val="none" w:sz="0" w:space="0" w:color="auto"/>
            <w:right w:val="none" w:sz="0" w:space="0" w:color="auto"/>
          </w:divBdr>
        </w:div>
        <w:div w:id="1162813950">
          <w:marLeft w:val="446"/>
          <w:marRight w:val="0"/>
          <w:marTop w:val="0"/>
          <w:marBottom w:val="0"/>
          <w:divBdr>
            <w:top w:val="none" w:sz="0" w:space="0" w:color="auto"/>
            <w:left w:val="none" w:sz="0" w:space="0" w:color="auto"/>
            <w:bottom w:val="none" w:sz="0" w:space="0" w:color="auto"/>
            <w:right w:val="none" w:sz="0" w:space="0" w:color="auto"/>
          </w:divBdr>
        </w:div>
        <w:div w:id="1867331440">
          <w:marLeft w:val="446"/>
          <w:marRight w:val="0"/>
          <w:marTop w:val="0"/>
          <w:marBottom w:val="0"/>
          <w:divBdr>
            <w:top w:val="none" w:sz="0" w:space="0" w:color="auto"/>
            <w:left w:val="none" w:sz="0" w:space="0" w:color="auto"/>
            <w:bottom w:val="none" w:sz="0" w:space="0" w:color="auto"/>
            <w:right w:val="none" w:sz="0" w:space="0" w:color="auto"/>
          </w:divBdr>
        </w:div>
      </w:divsChild>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sChild>
        <w:div w:id="457846326">
          <w:marLeft w:val="1987"/>
          <w:marRight w:val="0"/>
          <w:marTop w:val="0"/>
          <w:marBottom w:val="0"/>
          <w:divBdr>
            <w:top w:val="none" w:sz="0" w:space="0" w:color="auto"/>
            <w:left w:val="none" w:sz="0" w:space="0" w:color="auto"/>
            <w:bottom w:val="none" w:sz="0" w:space="0" w:color="auto"/>
            <w:right w:val="none" w:sz="0" w:space="0" w:color="auto"/>
          </w:divBdr>
        </w:div>
        <w:div w:id="733430471">
          <w:marLeft w:val="1267"/>
          <w:marRight w:val="0"/>
          <w:marTop w:val="0"/>
          <w:marBottom w:val="0"/>
          <w:divBdr>
            <w:top w:val="none" w:sz="0" w:space="0" w:color="auto"/>
            <w:left w:val="none" w:sz="0" w:space="0" w:color="auto"/>
            <w:bottom w:val="none" w:sz="0" w:space="0" w:color="auto"/>
            <w:right w:val="none" w:sz="0" w:space="0" w:color="auto"/>
          </w:divBdr>
        </w:div>
        <w:div w:id="746347279">
          <w:marLeft w:val="1267"/>
          <w:marRight w:val="0"/>
          <w:marTop w:val="0"/>
          <w:marBottom w:val="0"/>
          <w:divBdr>
            <w:top w:val="none" w:sz="0" w:space="0" w:color="auto"/>
            <w:left w:val="none" w:sz="0" w:space="0" w:color="auto"/>
            <w:bottom w:val="none" w:sz="0" w:space="0" w:color="auto"/>
            <w:right w:val="none" w:sz="0" w:space="0" w:color="auto"/>
          </w:divBdr>
        </w:div>
        <w:div w:id="1452432253">
          <w:marLeft w:val="1267"/>
          <w:marRight w:val="0"/>
          <w:marTop w:val="0"/>
          <w:marBottom w:val="0"/>
          <w:divBdr>
            <w:top w:val="none" w:sz="0" w:space="0" w:color="auto"/>
            <w:left w:val="none" w:sz="0" w:space="0" w:color="auto"/>
            <w:bottom w:val="none" w:sz="0" w:space="0" w:color="auto"/>
            <w:right w:val="none" w:sz="0" w:space="0" w:color="auto"/>
          </w:divBdr>
        </w:div>
        <w:div w:id="1452632592">
          <w:marLeft w:val="1987"/>
          <w:marRight w:val="0"/>
          <w:marTop w:val="0"/>
          <w:marBottom w:val="0"/>
          <w:divBdr>
            <w:top w:val="none" w:sz="0" w:space="0" w:color="auto"/>
            <w:left w:val="none" w:sz="0" w:space="0" w:color="auto"/>
            <w:bottom w:val="none" w:sz="0" w:space="0" w:color="auto"/>
            <w:right w:val="none" w:sz="0" w:space="0" w:color="auto"/>
          </w:divBdr>
        </w:div>
        <w:div w:id="1594557162">
          <w:marLeft w:val="1267"/>
          <w:marRight w:val="0"/>
          <w:marTop w:val="0"/>
          <w:marBottom w:val="0"/>
          <w:divBdr>
            <w:top w:val="none" w:sz="0" w:space="0" w:color="auto"/>
            <w:left w:val="none" w:sz="0" w:space="0" w:color="auto"/>
            <w:bottom w:val="none" w:sz="0" w:space="0" w:color="auto"/>
            <w:right w:val="none" w:sz="0" w:space="0" w:color="auto"/>
          </w:divBdr>
        </w:div>
        <w:div w:id="1646157432">
          <w:marLeft w:val="1267"/>
          <w:marRight w:val="0"/>
          <w:marTop w:val="0"/>
          <w:marBottom w:val="0"/>
          <w:divBdr>
            <w:top w:val="none" w:sz="0" w:space="0" w:color="auto"/>
            <w:left w:val="none" w:sz="0" w:space="0" w:color="auto"/>
            <w:bottom w:val="none" w:sz="0" w:space="0" w:color="auto"/>
            <w:right w:val="none" w:sz="0" w:space="0" w:color="auto"/>
          </w:divBdr>
        </w:div>
        <w:div w:id="1676422924">
          <w:marLeft w:val="1987"/>
          <w:marRight w:val="0"/>
          <w:marTop w:val="0"/>
          <w:marBottom w:val="0"/>
          <w:divBdr>
            <w:top w:val="none" w:sz="0" w:space="0" w:color="auto"/>
            <w:left w:val="none" w:sz="0" w:space="0" w:color="auto"/>
            <w:bottom w:val="none" w:sz="0" w:space="0" w:color="auto"/>
            <w:right w:val="none" w:sz="0" w:space="0" w:color="auto"/>
          </w:divBdr>
        </w:div>
        <w:div w:id="1836457634">
          <w:marLeft w:val="1267"/>
          <w:marRight w:val="0"/>
          <w:marTop w:val="0"/>
          <w:marBottom w:val="0"/>
          <w:divBdr>
            <w:top w:val="none" w:sz="0" w:space="0" w:color="auto"/>
            <w:left w:val="none" w:sz="0" w:space="0" w:color="auto"/>
            <w:bottom w:val="none" w:sz="0" w:space="0" w:color="auto"/>
            <w:right w:val="none" w:sz="0" w:space="0" w:color="auto"/>
          </w:divBdr>
        </w:div>
        <w:div w:id="1980184927">
          <w:marLeft w:val="1267"/>
          <w:marRight w:val="0"/>
          <w:marTop w:val="0"/>
          <w:marBottom w:val="0"/>
          <w:divBdr>
            <w:top w:val="none" w:sz="0" w:space="0" w:color="auto"/>
            <w:left w:val="none" w:sz="0" w:space="0" w:color="auto"/>
            <w:bottom w:val="none" w:sz="0" w:space="0" w:color="auto"/>
            <w:right w:val="none" w:sz="0" w:space="0" w:color="auto"/>
          </w:divBdr>
        </w:div>
      </w:divsChild>
    </w:div>
    <w:div w:id="1371347210">
      <w:bodyDiv w:val="1"/>
      <w:marLeft w:val="0"/>
      <w:marRight w:val="0"/>
      <w:marTop w:val="0"/>
      <w:marBottom w:val="0"/>
      <w:divBdr>
        <w:top w:val="none" w:sz="0" w:space="0" w:color="auto"/>
        <w:left w:val="none" w:sz="0" w:space="0" w:color="auto"/>
        <w:bottom w:val="none" w:sz="0" w:space="0" w:color="auto"/>
        <w:right w:val="none" w:sz="0" w:space="0" w:color="auto"/>
      </w:divBdr>
      <w:divsChild>
        <w:div w:id="205069079">
          <w:marLeft w:val="446"/>
          <w:marRight w:val="0"/>
          <w:marTop w:val="0"/>
          <w:marBottom w:val="0"/>
          <w:divBdr>
            <w:top w:val="none" w:sz="0" w:space="0" w:color="auto"/>
            <w:left w:val="none" w:sz="0" w:space="0" w:color="auto"/>
            <w:bottom w:val="none" w:sz="0" w:space="0" w:color="auto"/>
            <w:right w:val="none" w:sz="0" w:space="0" w:color="auto"/>
          </w:divBdr>
        </w:div>
        <w:div w:id="1433281077">
          <w:marLeft w:val="446"/>
          <w:marRight w:val="0"/>
          <w:marTop w:val="0"/>
          <w:marBottom w:val="0"/>
          <w:divBdr>
            <w:top w:val="none" w:sz="0" w:space="0" w:color="auto"/>
            <w:left w:val="none" w:sz="0" w:space="0" w:color="auto"/>
            <w:bottom w:val="none" w:sz="0" w:space="0" w:color="auto"/>
            <w:right w:val="none" w:sz="0" w:space="0" w:color="auto"/>
          </w:divBdr>
        </w:div>
        <w:div w:id="1927111606">
          <w:marLeft w:val="446"/>
          <w:marRight w:val="0"/>
          <w:marTop w:val="0"/>
          <w:marBottom w:val="0"/>
          <w:divBdr>
            <w:top w:val="none" w:sz="0" w:space="0" w:color="auto"/>
            <w:left w:val="none" w:sz="0" w:space="0" w:color="auto"/>
            <w:bottom w:val="none" w:sz="0" w:space="0" w:color="auto"/>
            <w:right w:val="none" w:sz="0" w:space="0" w:color="auto"/>
          </w:divBdr>
        </w:div>
      </w:divsChild>
    </w:div>
    <w:div w:id="1388652216">
      <w:bodyDiv w:val="1"/>
      <w:marLeft w:val="0"/>
      <w:marRight w:val="0"/>
      <w:marTop w:val="0"/>
      <w:marBottom w:val="0"/>
      <w:divBdr>
        <w:top w:val="none" w:sz="0" w:space="0" w:color="auto"/>
        <w:left w:val="none" w:sz="0" w:space="0" w:color="auto"/>
        <w:bottom w:val="none" w:sz="0" w:space="0" w:color="auto"/>
        <w:right w:val="none" w:sz="0" w:space="0" w:color="auto"/>
      </w:divBdr>
      <w:divsChild>
        <w:div w:id="596906538">
          <w:marLeft w:val="446"/>
          <w:marRight w:val="0"/>
          <w:marTop w:val="0"/>
          <w:marBottom w:val="0"/>
          <w:divBdr>
            <w:top w:val="none" w:sz="0" w:space="0" w:color="auto"/>
            <w:left w:val="none" w:sz="0" w:space="0" w:color="auto"/>
            <w:bottom w:val="none" w:sz="0" w:space="0" w:color="auto"/>
            <w:right w:val="none" w:sz="0" w:space="0" w:color="auto"/>
          </w:divBdr>
        </w:div>
        <w:div w:id="1456488141">
          <w:marLeft w:val="446"/>
          <w:marRight w:val="0"/>
          <w:marTop w:val="0"/>
          <w:marBottom w:val="0"/>
          <w:divBdr>
            <w:top w:val="none" w:sz="0" w:space="0" w:color="auto"/>
            <w:left w:val="none" w:sz="0" w:space="0" w:color="auto"/>
            <w:bottom w:val="none" w:sz="0" w:space="0" w:color="auto"/>
            <w:right w:val="none" w:sz="0" w:space="0" w:color="auto"/>
          </w:divBdr>
        </w:div>
      </w:divsChild>
    </w:div>
    <w:div w:id="1391463700">
      <w:bodyDiv w:val="1"/>
      <w:marLeft w:val="0"/>
      <w:marRight w:val="0"/>
      <w:marTop w:val="0"/>
      <w:marBottom w:val="0"/>
      <w:divBdr>
        <w:top w:val="none" w:sz="0" w:space="0" w:color="auto"/>
        <w:left w:val="none" w:sz="0" w:space="0" w:color="auto"/>
        <w:bottom w:val="none" w:sz="0" w:space="0" w:color="auto"/>
        <w:right w:val="none" w:sz="0" w:space="0" w:color="auto"/>
      </w:divBdr>
      <w:divsChild>
        <w:div w:id="424573359">
          <w:marLeft w:val="446"/>
          <w:marRight w:val="0"/>
          <w:marTop w:val="0"/>
          <w:marBottom w:val="0"/>
          <w:divBdr>
            <w:top w:val="none" w:sz="0" w:space="0" w:color="auto"/>
            <w:left w:val="none" w:sz="0" w:space="0" w:color="auto"/>
            <w:bottom w:val="none" w:sz="0" w:space="0" w:color="auto"/>
            <w:right w:val="none" w:sz="0" w:space="0" w:color="auto"/>
          </w:divBdr>
        </w:div>
        <w:div w:id="1685282157">
          <w:marLeft w:val="446"/>
          <w:marRight w:val="0"/>
          <w:marTop w:val="0"/>
          <w:marBottom w:val="0"/>
          <w:divBdr>
            <w:top w:val="none" w:sz="0" w:space="0" w:color="auto"/>
            <w:left w:val="none" w:sz="0" w:space="0" w:color="auto"/>
            <w:bottom w:val="none" w:sz="0" w:space="0" w:color="auto"/>
            <w:right w:val="none" w:sz="0" w:space="0" w:color="auto"/>
          </w:divBdr>
        </w:div>
      </w:divsChild>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sChild>
        <w:div w:id="1942907910">
          <w:marLeft w:val="446"/>
          <w:marRight w:val="0"/>
          <w:marTop w:val="0"/>
          <w:marBottom w:val="0"/>
          <w:divBdr>
            <w:top w:val="none" w:sz="0" w:space="0" w:color="auto"/>
            <w:left w:val="none" w:sz="0" w:space="0" w:color="auto"/>
            <w:bottom w:val="none" w:sz="0" w:space="0" w:color="auto"/>
            <w:right w:val="none" w:sz="0" w:space="0" w:color="auto"/>
          </w:divBdr>
        </w:div>
      </w:divsChild>
    </w:div>
    <w:div w:id="1422214493">
      <w:bodyDiv w:val="1"/>
      <w:marLeft w:val="0"/>
      <w:marRight w:val="0"/>
      <w:marTop w:val="0"/>
      <w:marBottom w:val="0"/>
      <w:divBdr>
        <w:top w:val="none" w:sz="0" w:space="0" w:color="auto"/>
        <w:left w:val="none" w:sz="0" w:space="0" w:color="auto"/>
        <w:bottom w:val="none" w:sz="0" w:space="0" w:color="auto"/>
        <w:right w:val="none" w:sz="0" w:space="0" w:color="auto"/>
      </w:divBdr>
      <w:divsChild>
        <w:div w:id="403644415">
          <w:marLeft w:val="446"/>
          <w:marRight w:val="0"/>
          <w:marTop w:val="0"/>
          <w:marBottom w:val="0"/>
          <w:divBdr>
            <w:top w:val="none" w:sz="0" w:space="0" w:color="auto"/>
            <w:left w:val="none" w:sz="0" w:space="0" w:color="auto"/>
            <w:bottom w:val="none" w:sz="0" w:space="0" w:color="auto"/>
            <w:right w:val="none" w:sz="0" w:space="0" w:color="auto"/>
          </w:divBdr>
        </w:div>
        <w:div w:id="1418476287">
          <w:marLeft w:val="446"/>
          <w:marRight w:val="0"/>
          <w:marTop w:val="0"/>
          <w:marBottom w:val="0"/>
          <w:divBdr>
            <w:top w:val="none" w:sz="0" w:space="0" w:color="auto"/>
            <w:left w:val="none" w:sz="0" w:space="0" w:color="auto"/>
            <w:bottom w:val="none" w:sz="0" w:space="0" w:color="auto"/>
            <w:right w:val="none" w:sz="0" w:space="0" w:color="auto"/>
          </w:divBdr>
        </w:div>
      </w:divsChild>
    </w:div>
    <w:div w:id="1424372722">
      <w:bodyDiv w:val="1"/>
      <w:marLeft w:val="0"/>
      <w:marRight w:val="0"/>
      <w:marTop w:val="0"/>
      <w:marBottom w:val="0"/>
      <w:divBdr>
        <w:top w:val="none" w:sz="0" w:space="0" w:color="auto"/>
        <w:left w:val="none" w:sz="0" w:space="0" w:color="auto"/>
        <w:bottom w:val="none" w:sz="0" w:space="0" w:color="auto"/>
        <w:right w:val="none" w:sz="0" w:space="0" w:color="auto"/>
      </w:divBdr>
      <w:divsChild>
        <w:div w:id="1430926408">
          <w:marLeft w:val="547"/>
          <w:marRight w:val="0"/>
          <w:marTop w:val="0"/>
          <w:marBottom w:val="0"/>
          <w:divBdr>
            <w:top w:val="none" w:sz="0" w:space="0" w:color="auto"/>
            <w:left w:val="none" w:sz="0" w:space="0" w:color="auto"/>
            <w:bottom w:val="none" w:sz="0" w:space="0" w:color="auto"/>
            <w:right w:val="none" w:sz="0" w:space="0" w:color="auto"/>
          </w:divBdr>
        </w:div>
        <w:div w:id="1516381167">
          <w:marLeft w:val="547"/>
          <w:marRight w:val="0"/>
          <w:marTop w:val="0"/>
          <w:marBottom w:val="0"/>
          <w:divBdr>
            <w:top w:val="none" w:sz="0" w:space="0" w:color="auto"/>
            <w:left w:val="none" w:sz="0" w:space="0" w:color="auto"/>
            <w:bottom w:val="none" w:sz="0" w:space="0" w:color="auto"/>
            <w:right w:val="none" w:sz="0" w:space="0" w:color="auto"/>
          </w:divBdr>
        </w:div>
        <w:div w:id="1617060335">
          <w:marLeft w:val="547"/>
          <w:marRight w:val="0"/>
          <w:marTop w:val="0"/>
          <w:marBottom w:val="0"/>
          <w:divBdr>
            <w:top w:val="none" w:sz="0" w:space="0" w:color="auto"/>
            <w:left w:val="none" w:sz="0" w:space="0" w:color="auto"/>
            <w:bottom w:val="none" w:sz="0" w:space="0" w:color="auto"/>
            <w:right w:val="none" w:sz="0" w:space="0" w:color="auto"/>
          </w:divBdr>
        </w:div>
      </w:divsChild>
    </w:div>
    <w:div w:id="1476099585">
      <w:bodyDiv w:val="1"/>
      <w:marLeft w:val="0"/>
      <w:marRight w:val="0"/>
      <w:marTop w:val="0"/>
      <w:marBottom w:val="0"/>
      <w:divBdr>
        <w:top w:val="none" w:sz="0" w:space="0" w:color="auto"/>
        <w:left w:val="none" w:sz="0" w:space="0" w:color="auto"/>
        <w:bottom w:val="none" w:sz="0" w:space="0" w:color="auto"/>
        <w:right w:val="none" w:sz="0" w:space="0" w:color="auto"/>
      </w:divBdr>
      <w:divsChild>
        <w:div w:id="45489646">
          <w:marLeft w:val="446"/>
          <w:marRight w:val="0"/>
          <w:marTop w:val="0"/>
          <w:marBottom w:val="0"/>
          <w:divBdr>
            <w:top w:val="none" w:sz="0" w:space="0" w:color="auto"/>
            <w:left w:val="none" w:sz="0" w:space="0" w:color="auto"/>
            <w:bottom w:val="none" w:sz="0" w:space="0" w:color="auto"/>
            <w:right w:val="none" w:sz="0" w:space="0" w:color="auto"/>
          </w:divBdr>
        </w:div>
        <w:div w:id="749545469">
          <w:marLeft w:val="446"/>
          <w:marRight w:val="0"/>
          <w:marTop w:val="0"/>
          <w:marBottom w:val="0"/>
          <w:divBdr>
            <w:top w:val="none" w:sz="0" w:space="0" w:color="auto"/>
            <w:left w:val="none" w:sz="0" w:space="0" w:color="auto"/>
            <w:bottom w:val="none" w:sz="0" w:space="0" w:color="auto"/>
            <w:right w:val="none" w:sz="0" w:space="0" w:color="auto"/>
          </w:divBdr>
        </w:div>
        <w:div w:id="1818841376">
          <w:marLeft w:val="446"/>
          <w:marRight w:val="0"/>
          <w:marTop w:val="0"/>
          <w:marBottom w:val="0"/>
          <w:divBdr>
            <w:top w:val="none" w:sz="0" w:space="0" w:color="auto"/>
            <w:left w:val="none" w:sz="0" w:space="0" w:color="auto"/>
            <w:bottom w:val="none" w:sz="0" w:space="0" w:color="auto"/>
            <w:right w:val="none" w:sz="0" w:space="0" w:color="auto"/>
          </w:divBdr>
        </w:div>
      </w:divsChild>
    </w:div>
    <w:div w:id="1508204819">
      <w:bodyDiv w:val="1"/>
      <w:marLeft w:val="0"/>
      <w:marRight w:val="0"/>
      <w:marTop w:val="0"/>
      <w:marBottom w:val="0"/>
      <w:divBdr>
        <w:top w:val="none" w:sz="0" w:space="0" w:color="auto"/>
        <w:left w:val="none" w:sz="0" w:space="0" w:color="auto"/>
        <w:bottom w:val="none" w:sz="0" w:space="0" w:color="auto"/>
        <w:right w:val="none" w:sz="0" w:space="0" w:color="auto"/>
      </w:divBdr>
    </w:div>
    <w:div w:id="1517689126">
      <w:bodyDiv w:val="1"/>
      <w:marLeft w:val="0"/>
      <w:marRight w:val="0"/>
      <w:marTop w:val="0"/>
      <w:marBottom w:val="0"/>
      <w:divBdr>
        <w:top w:val="none" w:sz="0" w:space="0" w:color="auto"/>
        <w:left w:val="none" w:sz="0" w:space="0" w:color="auto"/>
        <w:bottom w:val="none" w:sz="0" w:space="0" w:color="auto"/>
        <w:right w:val="none" w:sz="0" w:space="0" w:color="auto"/>
      </w:divBdr>
      <w:divsChild>
        <w:div w:id="1007251377">
          <w:marLeft w:val="446"/>
          <w:marRight w:val="0"/>
          <w:marTop w:val="0"/>
          <w:marBottom w:val="0"/>
          <w:divBdr>
            <w:top w:val="none" w:sz="0" w:space="0" w:color="auto"/>
            <w:left w:val="none" w:sz="0" w:space="0" w:color="auto"/>
            <w:bottom w:val="none" w:sz="0" w:space="0" w:color="auto"/>
            <w:right w:val="none" w:sz="0" w:space="0" w:color="auto"/>
          </w:divBdr>
        </w:div>
        <w:div w:id="1747990361">
          <w:marLeft w:val="446"/>
          <w:marRight w:val="0"/>
          <w:marTop w:val="0"/>
          <w:marBottom w:val="0"/>
          <w:divBdr>
            <w:top w:val="none" w:sz="0" w:space="0" w:color="auto"/>
            <w:left w:val="none" w:sz="0" w:space="0" w:color="auto"/>
            <w:bottom w:val="none" w:sz="0" w:space="0" w:color="auto"/>
            <w:right w:val="none" w:sz="0" w:space="0" w:color="auto"/>
          </w:divBdr>
        </w:div>
      </w:divsChild>
    </w:div>
    <w:div w:id="1521042583">
      <w:bodyDiv w:val="1"/>
      <w:marLeft w:val="0"/>
      <w:marRight w:val="0"/>
      <w:marTop w:val="0"/>
      <w:marBottom w:val="0"/>
      <w:divBdr>
        <w:top w:val="none" w:sz="0" w:space="0" w:color="auto"/>
        <w:left w:val="none" w:sz="0" w:space="0" w:color="auto"/>
        <w:bottom w:val="none" w:sz="0" w:space="0" w:color="auto"/>
        <w:right w:val="none" w:sz="0" w:space="0" w:color="auto"/>
      </w:divBdr>
      <w:divsChild>
        <w:div w:id="668294907">
          <w:marLeft w:val="446"/>
          <w:marRight w:val="0"/>
          <w:marTop w:val="0"/>
          <w:marBottom w:val="0"/>
          <w:divBdr>
            <w:top w:val="none" w:sz="0" w:space="0" w:color="auto"/>
            <w:left w:val="none" w:sz="0" w:space="0" w:color="auto"/>
            <w:bottom w:val="none" w:sz="0" w:space="0" w:color="auto"/>
            <w:right w:val="none" w:sz="0" w:space="0" w:color="auto"/>
          </w:divBdr>
        </w:div>
        <w:div w:id="770197552">
          <w:marLeft w:val="446"/>
          <w:marRight w:val="0"/>
          <w:marTop w:val="0"/>
          <w:marBottom w:val="0"/>
          <w:divBdr>
            <w:top w:val="none" w:sz="0" w:space="0" w:color="auto"/>
            <w:left w:val="none" w:sz="0" w:space="0" w:color="auto"/>
            <w:bottom w:val="none" w:sz="0" w:space="0" w:color="auto"/>
            <w:right w:val="none" w:sz="0" w:space="0" w:color="auto"/>
          </w:divBdr>
        </w:div>
        <w:div w:id="811797600">
          <w:marLeft w:val="446"/>
          <w:marRight w:val="0"/>
          <w:marTop w:val="0"/>
          <w:marBottom w:val="0"/>
          <w:divBdr>
            <w:top w:val="none" w:sz="0" w:space="0" w:color="auto"/>
            <w:left w:val="none" w:sz="0" w:space="0" w:color="auto"/>
            <w:bottom w:val="none" w:sz="0" w:space="0" w:color="auto"/>
            <w:right w:val="none" w:sz="0" w:space="0" w:color="auto"/>
          </w:divBdr>
        </w:div>
      </w:divsChild>
    </w:div>
    <w:div w:id="1528059530">
      <w:bodyDiv w:val="1"/>
      <w:marLeft w:val="0"/>
      <w:marRight w:val="0"/>
      <w:marTop w:val="0"/>
      <w:marBottom w:val="0"/>
      <w:divBdr>
        <w:top w:val="none" w:sz="0" w:space="0" w:color="auto"/>
        <w:left w:val="none" w:sz="0" w:space="0" w:color="auto"/>
        <w:bottom w:val="none" w:sz="0" w:space="0" w:color="auto"/>
        <w:right w:val="none" w:sz="0" w:space="0" w:color="auto"/>
      </w:divBdr>
      <w:divsChild>
        <w:div w:id="531580275">
          <w:marLeft w:val="547"/>
          <w:marRight w:val="0"/>
          <w:marTop w:val="0"/>
          <w:marBottom w:val="0"/>
          <w:divBdr>
            <w:top w:val="none" w:sz="0" w:space="0" w:color="auto"/>
            <w:left w:val="none" w:sz="0" w:space="0" w:color="auto"/>
            <w:bottom w:val="none" w:sz="0" w:space="0" w:color="auto"/>
            <w:right w:val="none" w:sz="0" w:space="0" w:color="auto"/>
          </w:divBdr>
        </w:div>
        <w:div w:id="578759652">
          <w:marLeft w:val="547"/>
          <w:marRight w:val="0"/>
          <w:marTop w:val="0"/>
          <w:marBottom w:val="0"/>
          <w:divBdr>
            <w:top w:val="none" w:sz="0" w:space="0" w:color="auto"/>
            <w:left w:val="none" w:sz="0" w:space="0" w:color="auto"/>
            <w:bottom w:val="none" w:sz="0" w:space="0" w:color="auto"/>
            <w:right w:val="none" w:sz="0" w:space="0" w:color="auto"/>
          </w:divBdr>
        </w:div>
        <w:div w:id="1131367241">
          <w:marLeft w:val="547"/>
          <w:marRight w:val="0"/>
          <w:marTop w:val="0"/>
          <w:marBottom w:val="0"/>
          <w:divBdr>
            <w:top w:val="none" w:sz="0" w:space="0" w:color="auto"/>
            <w:left w:val="none" w:sz="0" w:space="0" w:color="auto"/>
            <w:bottom w:val="none" w:sz="0" w:space="0" w:color="auto"/>
            <w:right w:val="none" w:sz="0" w:space="0" w:color="auto"/>
          </w:divBdr>
        </w:div>
      </w:divsChild>
    </w:div>
    <w:div w:id="1562208145">
      <w:bodyDiv w:val="1"/>
      <w:marLeft w:val="0"/>
      <w:marRight w:val="0"/>
      <w:marTop w:val="0"/>
      <w:marBottom w:val="0"/>
      <w:divBdr>
        <w:top w:val="none" w:sz="0" w:space="0" w:color="auto"/>
        <w:left w:val="none" w:sz="0" w:space="0" w:color="auto"/>
        <w:bottom w:val="none" w:sz="0" w:space="0" w:color="auto"/>
        <w:right w:val="none" w:sz="0" w:space="0" w:color="auto"/>
      </w:divBdr>
      <w:divsChild>
        <w:div w:id="570189429">
          <w:marLeft w:val="446"/>
          <w:marRight w:val="0"/>
          <w:marTop w:val="0"/>
          <w:marBottom w:val="0"/>
          <w:divBdr>
            <w:top w:val="none" w:sz="0" w:space="0" w:color="auto"/>
            <w:left w:val="none" w:sz="0" w:space="0" w:color="auto"/>
            <w:bottom w:val="none" w:sz="0" w:space="0" w:color="auto"/>
            <w:right w:val="none" w:sz="0" w:space="0" w:color="auto"/>
          </w:divBdr>
        </w:div>
        <w:div w:id="2042391855">
          <w:marLeft w:val="446"/>
          <w:marRight w:val="0"/>
          <w:marTop w:val="0"/>
          <w:marBottom w:val="0"/>
          <w:divBdr>
            <w:top w:val="none" w:sz="0" w:space="0" w:color="auto"/>
            <w:left w:val="none" w:sz="0" w:space="0" w:color="auto"/>
            <w:bottom w:val="none" w:sz="0" w:space="0" w:color="auto"/>
            <w:right w:val="none" w:sz="0" w:space="0" w:color="auto"/>
          </w:divBdr>
        </w:div>
      </w:divsChild>
    </w:div>
    <w:div w:id="1630938034">
      <w:bodyDiv w:val="1"/>
      <w:marLeft w:val="0"/>
      <w:marRight w:val="0"/>
      <w:marTop w:val="0"/>
      <w:marBottom w:val="0"/>
      <w:divBdr>
        <w:top w:val="none" w:sz="0" w:space="0" w:color="auto"/>
        <w:left w:val="none" w:sz="0" w:space="0" w:color="auto"/>
        <w:bottom w:val="none" w:sz="0" w:space="0" w:color="auto"/>
        <w:right w:val="none" w:sz="0" w:space="0" w:color="auto"/>
      </w:divBdr>
      <w:divsChild>
        <w:div w:id="54671153">
          <w:marLeft w:val="446"/>
          <w:marRight w:val="0"/>
          <w:marTop w:val="0"/>
          <w:marBottom w:val="0"/>
          <w:divBdr>
            <w:top w:val="none" w:sz="0" w:space="0" w:color="auto"/>
            <w:left w:val="none" w:sz="0" w:space="0" w:color="auto"/>
            <w:bottom w:val="none" w:sz="0" w:space="0" w:color="auto"/>
            <w:right w:val="none" w:sz="0" w:space="0" w:color="auto"/>
          </w:divBdr>
        </w:div>
        <w:div w:id="1241526408">
          <w:marLeft w:val="446"/>
          <w:marRight w:val="0"/>
          <w:marTop w:val="0"/>
          <w:marBottom w:val="0"/>
          <w:divBdr>
            <w:top w:val="none" w:sz="0" w:space="0" w:color="auto"/>
            <w:left w:val="none" w:sz="0" w:space="0" w:color="auto"/>
            <w:bottom w:val="none" w:sz="0" w:space="0" w:color="auto"/>
            <w:right w:val="none" w:sz="0" w:space="0" w:color="auto"/>
          </w:divBdr>
        </w:div>
        <w:div w:id="1429043096">
          <w:marLeft w:val="446"/>
          <w:marRight w:val="0"/>
          <w:marTop w:val="0"/>
          <w:marBottom w:val="0"/>
          <w:divBdr>
            <w:top w:val="none" w:sz="0" w:space="0" w:color="auto"/>
            <w:left w:val="none" w:sz="0" w:space="0" w:color="auto"/>
            <w:bottom w:val="none" w:sz="0" w:space="0" w:color="auto"/>
            <w:right w:val="none" w:sz="0" w:space="0" w:color="auto"/>
          </w:divBdr>
        </w:div>
      </w:divsChild>
    </w:div>
    <w:div w:id="1653487878">
      <w:bodyDiv w:val="1"/>
      <w:marLeft w:val="0"/>
      <w:marRight w:val="0"/>
      <w:marTop w:val="0"/>
      <w:marBottom w:val="0"/>
      <w:divBdr>
        <w:top w:val="none" w:sz="0" w:space="0" w:color="auto"/>
        <w:left w:val="none" w:sz="0" w:space="0" w:color="auto"/>
        <w:bottom w:val="none" w:sz="0" w:space="0" w:color="auto"/>
        <w:right w:val="none" w:sz="0" w:space="0" w:color="auto"/>
      </w:divBdr>
      <w:divsChild>
        <w:div w:id="1431511302">
          <w:marLeft w:val="446"/>
          <w:marRight w:val="0"/>
          <w:marTop w:val="0"/>
          <w:marBottom w:val="0"/>
          <w:divBdr>
            <w:top w:val="none" w:sz="0" w:space="0" w:color="auto"/>
            <w:left w:val="none" w:sz="0" w:space="0" w:color="auto"/>
            <w:bottom w:val="none" w:sz="0" w:space="0" w:color="auto"/>
            <w:right w:val="none" w:sz="0" w:space="0" w:color="auto"/>
          </w:divBdr>
        </w:div>
      </w:divsChild>
    </w:div>
    <w:div w:id="1695688466">
      <w:bodyDiv w:val="1"/>
      <w:marLeft w:val="0"/>
      <w:marRight w:val="0"/>
      <w:marTop w:val="0"/>
      <w:marBottom w:val="0"/>
      <w:divBdr>
        <w:top w:val="none" w:sz="0" w:space="0" w:color="auto"/>
        <w:left w:val="none" w:sz="0" w:space="0" w:color="auto"/>
        <w:bottom w:val="none" w:sz="0" w:space="0" w:color="auto"/>
        <w:right w:val="none" w:sz="0" w:space="0" w:color="auto"/>
      </w:divBdr>
    </w:div>
    <w:div w:id="1777290371">
      <w:bodyDiv w:val="1"/>
      <w:marLeft w:val="0"/>
      <w:marRight w:val="0"/>
      <w:marTop w:val="0"/>
      <w:marBottom w:val="0"/>
      <w:divBdr>
        <w:top w:val="none" w:sz="0" w:space="0" w:color="auto"/>
        <w:left w:val="none" w:sz="0" w:space="0" w:color="auto"/>
        <w:bottom w:val="none" w:sz="0" w:space="0" w:color="auto"/>
        <w:right w:val="none" w:sz="0" w:space="0" w:color="auto"/>
      </w:divBdr>
      <w:divsChild>
        <w:div w:id="227545205">
          <w:marLeft w:val="446"/>
          <w:marRight w:val="0"/>
          <w:marTop w:val="0"/>
          <w:marBottom w:val="0"/>
          <w:divBdr>
            <w:top w:val="none" w:sz="0" w:space="0" w:color="auto"/>
            <w:left w:val="none" w:sz="0" w:space="0" w:color="auto"/>
            <w:bottom w:val="none" w:sz="0" w:space="0" w:color="auto"/>
            <w:right w:val="none" w:sz="0" w:space="0" w:color="auto"/>
          </w:divBdr>
        </w:div>
        <w:div w:id="232933315">
          <w:marLeft w:val="446"/>
          <w:marRight w:val="0"/>
          <w:marTop w:val="0"/>
          <w:marBottom w:val="0"/>
          <w:divBdr>
            <w:top w:val="none" w:sz="0" w:space="0" w:color="auto"/>
            <w:left w:val="none" w:sz="0" w:space="0" w:color="auto"/>
            <w:bottom w:val="none" w:sz="0" w:space="0" w:color="auto"/>
            <w:right w:val="none" w:sz="0" w:space="0" w:color="auto"/>
          </w:divBdr>
        </w:div>
        <w:div w:id="1355418417">
          <w:marLeft w:val="446"/>
          <w:marRight w:val="0"/>
          <w:marTop w:val="0"/>
          <w:marBottom w:val="0"/>
          <w:divBdr>
            <w:top w:val="none" w:sz="0" w:space="0" w:color="auto"/>
            <w:left w:val="none" w:sz="0" w:space="0" w:color="auto"/>
            <w:bottom w:val="none" w:sz="0" w:space="0" w:color="auto"/>
            <w:right w:val="none" w:sz="0" w:space="0" w:color="auto"/>
          </w:divBdr>
        </w:div>
      </w:divsChild>
    </w:div>
    <w:div w:id="1815177586">
      <w:bodyDiv w:val="1"/>
      <w:marLeft w:val="0"/>
      <w:marRight w:val="0"/>
      <w:marTop w:val="0"/>
      <w:marBottom w:val="0"/>
      <w:divBdr>
        <w:top w:val="none" w:sz="0" w:space="0" w:color="auto"/>
        <w:left w:val="none" w:sz="0" w:space="0" w:color="auto"/>
        <w:bottom w:val="none" w:sz="0" w:space="0" w:color="auto"/>
        <w:right w:val="none" w:sz="0" w:space="0" w:color="auto"/>
      </w:divBdr>
      <w:divsChild>
        <w:div w:id="86779266">
          <w:marLeft w:val="446"/>
          <w:marRight w:val="0"/>
          <w:marTop w:val="0"/>
          <w:marBottom w:val="0"/>
          <w:divBdr>
            <w:top w:val="none" w:sz="0" w:space="0" w:color="auto"/>
            <w:left w:val="none" w:sz="0" w:space="0" w:color="auto"/>
            <w:bottom w:val="none" w:sz="0" w:space="0" w:color="auto"/>
            <w:right w:val="none" w:sz="0" w:space="0" w:color="auto"/>
          </w:divBdr>
        </w:div>
        <w:div w:id="396779739">
          <w:marLeft w:val="446"/>
          <w:marRight w:val="0"/>
          <w:marTop w:val="0"/>
          <w:marBottom w:val="0"/>
          <w:divBdr>
            <w:top w:val="none" w:sz="0" w:space="0" w:color="auto"/>
            <w:left w:val="none" w:sz="0" w:space="0" w:color="auto"/>
            <w:bottom w:val="none" w:sz="0" w:space="0" w:color="auto"/>
            <w:right w:val="none" w:sz="0" w:space="0" w:color="auto"/>
          </w:divBdr>
        </w:div>
        <w:div w:id="673648043">
          <w:marLeft w:val="446"/>
          <w:marRight w:val="0"/>
          <w:marTop w:val="0"/>
          <w:marBottom w:val="0"/>
          <w:divBdr>
            <w:top w:val="none" w:sz="0" w:space="0" w:color="auto"/>
            <w:left w:val="none" w:sz="0" w:space="0" w:color="auto"/>
            <w:bottom w:val="none" w:sz="0" w:space="0" w:color="auto"/>
            <w:right w:val="none" w:sz="0" w:space="0" w:color="auto"/>
          </w:divBdr>
        </w:div>
      </w:divsChild>
    </w:div>
    <w:div w:id="1831603898">
      <w:bodyDiv w:val="1"/>
      <w:marLeft w:val="0"/>
      <w:marRight w:val="0"/>
      <w:marTop w:val="0"/>
      <w:marBottom w:val="0"/>
      <w:divBdr>
        <w:top w:val="none" w:sz="0" w:space="0" w:color="auto"/>
        <w:left w:val="none" w:sz="0" w:space="0" w:color="auto"/>
        <w:bottom w:val="none" w:sz="0" w:space="0" w:color="auto"/>
        <w:right w:val="none" w:sz="0" w:space="0" w:color="auto"/>
      </w:divBdr>
      <w:divsChild>
        <w:div w:id="900403950">
          <w:marLeft w:val="446"/>
          <w:marRight w:val="0"/>
          <w:marTop w:val="0"/>
          <w:marBottom w:val="0"/>
          <w:divBdr>
            <w:top w:val="none" w:sz="0" w:space="0" w:color="auto"/>
            <w:left w:val="none" w:sz="0" w:space="0" w:color="auto"/>
            <w:bottom w:val="none" w:sz="0" w:space="0" w:color="auto"/>
            <w:right w:val="none" w:sz="0" w:space="0" w:color="auto"/>
          </w:divBdr>
        </w:div>
        <w:div w:id="1627079007">
          <w:marLeft w:val="446"/>
          <w:marRight w:val="0"/>
          <w:marTop w:val="0"/>
          <w:marBottom w:val="0"/>
          <w:divBdr>
            <w:top w:val="none" w:sz="0" w:space="0" w:color="auto"/>
            <w:left w:val="none" w:sz="0" w:space="0" w:color="auto"/>
            <w:bottom w:val="none" w:sz="0" w:space="0" w:color="auto"/>
            <w:right w:val="none" w:sz="0" w:space="0" w:color="auto"/>
          </w:divBdr>
        </w:div>
      </w:divsChild>
    </w:div>
    <w:div w:id="1841694796">
      <w:bodyDiv w:val="1"/>
      <w:marLeft w:val="0"/>
      <w:marRight w:val="0"/>
      <w:marTop w:val="0"/>
      <w:marBottom w:val="0"/>
      <w:divBdr>
        <w:top w:val="none" w:sz="0" w:space="0" w:color="auto"/>
        <w:left w:val="none" w:sz="0" w:space="0" w:color="auto"/>
        <w:bottom w:val="none" w:sz="0" w:space="0" w:color="auto"/>
        <w:right w:val="none" w:sz="0" w:space="0" w:color="auto"/>
      </w:divBdr>
      <w:divsChild>
        <w:div w:id="287903347">
          <w:marLeft w:val="547"/>
          <w:marRight w:val="0"/>
          <w:marTop w:val="120"/>
          <w:marBottom w:val="0"/>
          <w:divBdr>
            <w:top w:val="none" w:sz="0" w:space="0" w:color="auto"/>
            <w:left w:val="none" w:sz="0" w:space="0" w:color="auto"/>
            <w:bottom w:val="none" w:sz="0" w:space="0" w:color="auto"/>
            <w:right w:val="none" w:sz="0" w:space="0" w:color="auto"/>
          </w:divBdr>
        </w:div>
        <w:div w:id="729039499">
          <w:marLeft w:val="547"/>
          <w:marRight w:val="0"/>
          <w:marTop w:val="120"/>
          <w:marBottom w:val="0"/>
          <w:divBdr>
            <w:top w:val="none" w:sz="0" w:space="0" w:color="auto"/>
            <w:left w:val="none" w:sz="0" w:space="0" w:color="auto"/>
            <w:bottom w:val="none" w:sz="0" w:space="0" w:color="auto"/>
            <w:right w:val="none" w:sz="0" w:space="0" w:color="auto"/>
          </w:divBdr>
        </w:div>
        <w:div w:id="920144316">
          <w:marLeft w:val="547"/>
          <w:marRight w:val="0"/>
          <w:marTop w:val="120"/>
          <w:marBottom w:val="0"/>
          <w:divBdr>
            <w:top w:val="none" w:sz="0" w:space="0" w:color="auto"/>
            <w:left w:val="none" w:sz="0" w:space="0" w:color="auto"/>
            <w:bottom w:val="none" w:sz="0" w:space="0" w:color="auto"/>
            <w:right w:val="none" w:sz="0" w:space="0" w:color="auto"/>
          </w:divBdr>
        </w:div>
        <w:div w:id="1090586530">
          <w:marLeft w:val="547"/>
          <w:marRight w:val="0"/>
          <w:marTop w:val="120"/>
          <w:marBottom w:val="0"/>
          <w:divBdr>
            <w:top w:val="none" w:sz="0" w:space="0" w:color="auto"/>
            <w:left w:val="none" w:sz="0" w:space="0" w:color="auto"/>
            <w:bottom w:val="none" w:sz="0" w:space="0" w:color="auto"/>
            <w:right w:val="none" w:sz="0" w:space="0" w:color="auto"/>
          </w:divBdr>
        </w:div>
        <w:div w:id="1121923975">
          <w:marLeft w:val="547"/>
          <w:marRight w:val="0"/>
          <w:marTop w:val="120"/>
          <w:marBottom w:val="0"/>
          <w:divBdr>
            <w:top w:val="none" w:sz="0" w:space="0" w:color="auto"/>
            <w:left w:val="none" w:sz="0" w:space="0" w:color="auto"/>
            <w:bottom w:val="none" w:sz="0" w:space="0" w:color="auto"/>
            <w:right w:val="none" w:sz="0" w:space="0" w:color="auto"/>
          </w:divBdr>
        </w:div>
        <w:div w:id="1186596008">
          <w:marLeft w:val="547"/>
          <w:marRight w:val="0"/>
          <w:marTop w:val="120"/>
          <w:marBottom w:val="0"/>
          <w:divBdr>
            <w:top w:val="none" w:sz="0" w:space="0" w:color="auto"/>
            <w:left w:val="none" w:sz="0" w:space="0" w:color="auto"/>
            <w:bottom w:val="none" w:sz="0" w:space="0" w:color="auto"/>
            <w:right w:val="none" w:sz="0" w:space="0" w:color="auto"/>
          </w:divBdr>
        </w:div>
        <w:div w:id="1191530224">
          <w:marLeft w:val="547"/>
          <w:marRight w:val="0"/>
          <w:marTop w:val="120"/>
          <w:marBottom w:val="0"/>
          <w:divBdr>
            <w:top w:val="none" w:sz="0" w:space="0" w:color="auto"/>
            <w:left w:val="none" w:sz="0" w:space="0" w:color="auto"/>
            <w:bottom w:val="none" w:sz="0" w:space="0" w:color="auto"/>
            <w:right w:val="none" w:sz="0" w:space="0" w:color="auto"/>
          </w:divBdr>
        </w:div>
        <w:div w:id="1834370535">
          <w:marLeft w:val="547"/>
          <w:marRight w:val="0"/>
          <w:marTop w:val="120"/>
          <w:marBottom w:val="0"/>
          <w:divBdr>
            <w:top w:val="none" w:sz="0" w:space="0" w:color="auto"/>
            <w:left w:val="none" w:sz="0" w:space="0" w:color="auto"/>
            <w:bottom w:val="none" w:sz="0" w:space="0" w:color="auto"/>
            <w:right w:val="none" w:sz="0" w:space="0" w:color="auto"/>
          </w:divBdr>
        </w:div>
        <w:div w:id="1960137580">
          <w:marLeft w:val="547"/>
          <w:marRight w:val="0"/>
          <w:marTop w:val="120"/>
          <w:marBottom w:val="0"/>
          <w:divBdr>
            <w:top w:val="none" w:sz="0" w:space="0" w:color="auto"/>
            <w:left w:val="none" w:sz="0" w:space="0" w:color="auto"/>
            <w:bottom w:val="none" w:sz="0" w:space="0" w:color="auto"/>
            <w:right w:val="none" w:sz="0" w:space="0" w:color="auto"/>
          </w:divBdr>
        </w:div>
      </w:divsChild>
    </w:div>
    <w:div w:id="1924415800">
      <w:bodyDiv w:val="1"/>
      <w:marLeft w:val="0"/>
      <w:marRight w:val="0"/>
      <w:marTop w:val="0"/>
      <w:marBottom w:val="0"/>
      <w:divBdr>
        <w:top w:val="none" w:sz="0" w:space="0" w:color="auto"/>
        <w:left w:val="none" w:sz="0" w:space="0" w:color="auto"/>
        <w:bottom w:val="none" w:sz="0" w:space="0" w:color="auto"/>
        <w:right w:val="none" w:sz="0" w:space="0" w:color="auto"/>
      </w:divBdr>
      <w:divsChild>
        <w:div w:id="1287465216">
          <w:marLeft w:val="446"/>
          <w:marRight w:val="0"/>
          <w:marTop w:val="0"/>
          <w:marBottom w:val="0"/>
          <w:divBdr>
            <w:top w:val="none" w:sz="0" w:space="0" w:color="auto"/>
            <w:left w:val="none" w:sz="0" w:space="0" w:color="auto"/>
            <w:bottom w:val="none" w:sz="0" w:space="0" w:color="auto"/>
            <w:right w:val="none" w:sz="0" w:space="0" w:color="auto"/>
          </w:divBdr>
        </w:div>
        <w:div w:id="1941260614">
          <w:marLeft w:val="446"/>
          <w:marRight w:val="0"/>
          <w:marTop w:val="0"/>
          <w:marBottom w:val="0"/>
          <w:divBdr>
            <w:top w:val="none" w:sz="0" w:space="0" w:color="auto"/>
            <w:left w:val="none" w:sz="0" w:space="0" w:color="auto"/>
            <w:bottom w:val="none" w:sz="0" w:space="0" w:color="auto"/>
            <w:right w:val="none" w:sz="0" w:space="0" w:color="auto"/>
          </w:divBdr>
        </w:div>
      </w:divsChild>
    </w:div>
    <w:div w:id="1944073950">
      <w:bodyDiv w:val="1"/>
      <w:marLeft w:val="0"/>
      <w:marRight w:val="0"/>
      <w:marTop w:val="0"/>
      <w:marBottom w:val="0"/>
      <w:divBdr>
        <w:top w:val="none" w:sz="0" w:space="0" w:color="auto"/>
        <w:left w:val="none" w:sz="0" w:space="0" w:color="auto"/>
        <w:bottom w:val="none" w:sz="0" w:space="0" w:color="auto"/>
        <w:right w:val="none" w:sz="0" w:space="0" w:color="auto"/>
      </w:divBdr>
      <w:divsChild>
        <w:div w:id="182209270">
          <w:marLeft w:val="547"/>
          <w:marRight w:val="0"/>
          <w:marTop w:val="0"/>
          <w:marBottom w:val="0"/>
          <w:divBdr>
            <w:top w:val="none" w:sz="0" w:space="0" w:color="auto"/>
            <w:left w:val="none" w:sz="0" w:space="0" w:color="auto"/>
            <w:bottom w:val="none" w:sz="0" w:space="0" w:color="auto"/>
            <w:right w:val="none" w:sz="0" w:space="0" w:color="auto"/>
          </w:divBdr>
        </w:div>
        <w:div w:id="872494536">
          <w:marLeft w:val="547"/>
          <w:marRight w:val="0"/>
          <w:marTop w:val="0"/>
          <w:marBottom w:val="0"/>
          <w:divBdr>
            <w:top w:val="none" w:sz="0" w:space="0" w:color="auto"/>
            <w:left w:val="none" w:sz="0" w:space="0" w:color="auto"/>
            <w:bottom w:val="none" w:sz="0" w:space="0" w:color="auto"/>
            <w:right w:val="none" w:sz="0" w:space="0" w:color="auto"/>
          </w:divBdr>
        </w:div>
        <w:div w:id="1654601630">
          <w:marLeft w:val="547"/>
          <w:marRight w:val="0"/>
          <w:marTop w:val="0"/>
          <w:marBottom w:val="0"/>
          <w:divBdr>
            <w:top w:val="none" w:sz="0" w:space="0" w:color="auto"/>
            <w:left w:val="none" w:sz="0" w:space="0" w:color="auto"/>
            <w:bottom w:val="none" w:sz="0" w:space="0" w:color="auto"/>
            <w:right w:val="none" w:sz="0" w:space="0" w:color="auto"/>
          </w:divBdr>
        </w:div>
        <w:div w:id="2060131827">
          <w:marLeft w:val="547"/>
          <w:marRight w:val="0"/>
          <w:marTop w:val="0"/>
          <w:marBottom w:val="0"/>
          <w:divBdr>
            <w:top w:val="none" w:sz="0" w:space="0" w:color="auto"/>
            <w:left w:val="none" w:sz="0" w:space="0" w:color="auto"/>
            <w:bottom w:val="none" w:sz="0" w:space="0" w:color="auto"/>
            <w:right w:val="none" w:sz="0" w:space="0" w:color="auto"/>
          </w:divBdr>
        </w:div>
      </w:divsChild>
    </w:div>
    <w:div w:id="1994141836">
      <w:bodyDiv w:val="1"/>
      <w:marLeft w:val="0"/>
      <w:marRight w:val="0"/>
      <w:marTop w:val="0"/>
      <w:marBottom w:val="0"/>
      <w:divBdr>
        <w:top w:val="none" w:sz="0" w:space="0" w:color="auto"/>
        <w:left w:val="none" w:sz="0" w:space="0" w:color="auto"/>
        <w:bottom w:val="none" w:sz="0" w:space="0" w:color="auto"/>
        <w:right w:val="none" w:sz="0" w:space="0" w:color="auto"/>
      </w:divBdr>
    </w:div>
    <w:div w:id="1999454648">
      <w:bodyDiv w:val="1"/>
      <w:marLeft w:val="0"/>
      <w:marRight w:val="0"/>
      <w:marTop w:val="0"/>
      <w:marBottom w:val="0"/>
      <w:divBdr>
        <w:top w:val="none" w:sz="0" w:space="0" w:color="auto"/>
        <w:left w:val="none" w:sz="0" w:space="0" w:color="auto"/>
        <w:bottom w:val="none" w:sz="0" w:space="0" w:color="auto"/>
        <w:right w:val="none" w:sz="0" w:space="0" w:color="auto"/>
      </w:divBdr>
    </w:div>
    <w:div w:id="2064794575">
      <w:bodyDiv w:val="1"/>
      <w:marLeft w:val="0"/>
      <w:marRight w:val="0"/>
      <w:marTop w:val="0"/>
      <w:marBottom w:val="0"/>
      <w:divBdr>
        <w:top w:val="none" w:sz="0" w:space="0" w:color="auto"/>
        <w:left w:val="none" w:sz="0" w:space="0" w:color="auto"/>
        <w:bottom w:val="none" w:sz="0" w:space="0" w:color="auto"/>
        <w:right w:val="none" w:sz="0" w:space="0" w:color="auto"/>
      </w:divBdr>
    </w:div>
    <w:div w:id="2070306088">
      <w:bodyDiv w:val="1"/>
      <w:marLeft w:val="0"/>
      <w:marRight w:val="0"/>
      <w:marTop w:val="0"/>
      <w:marBottom w:val="0"/>
      <w:divBdr>
        <w:top w:val="none" w:sz="0" w:space="0" w:color="auto"/>
        <w:left w:val="none" w:sz="0" w:space="0" w:color="auto"/>
        <w:bottom w:val="none" w:sz="0" w:space="0" w:color="auto"/>
        <w:right w:val="none" w:sz="0" w:space="0" w:color="auto"/>
      </w:divBdr>
      <w:divsChild>
        <w:div w:id="570846640">
          <w:marLeft w:val="547"/>
          <w:marRight w:val="0"/>
          <w:marTop w:val="200"/>
          <w:marBottom w:val="0"/>
          <w:divBdr>
            <w:top w:val="none" w:sz="0" w:space="0" w:color="auto"/>
            <w:left w:val="none" w:sz="0" w:space="0" w:color="auto"/>
            <w:bottom w:val="none" w:sz="0" w:space="0" w:color="auto"/>
            <w:right w:val="none" w:sz="0" w:space="0" w:color="auto"/>
          </w:divBdr>
        </w:div>
        <w:div w:id="714545535">
          <w:marLeft w:val="547"/>
          <w:marRight w:val="0"/>
          <w:marTop w:val="200"/>
          <w:marBottom w:val="0"/>
          <w:divBdr>
            <w:top w:val="none" w:sz="0" w:space="0" w:color="auto"/>
            <w:left w:val="none" w:sz="0" w:space="0" w:color="auto"/>
            <w:bottom w:val="none" w:sz="0" w:space="0" w:color="auto"/>
            <w:right w:val="none" w:sz="0" w:space="0" w:color="auto"/>
          </w:divBdr>
        </w:div>
        <w:div w:id="1154834941">
          <w:marLeft w:val="547"/>
          <w:marRight w:val="0"/>
          <w:marTop w:val="200"/>
          <w:marBottom w:val="0"/>
          <w:divBdr>
            <w:top w:val="none" w:sz="0" w:space="0" w:color="auto"/>
            <w:left w:val="none" w:sz="0" w:space="0" w:color="auto"/>
            <w:bottom w:val="none" w:sz="0" w:space="0" w:color="auto"/>
            <w:right w:val="none" w:sz="0" w:space="0" w:color="auto"/>
          </w:divBdr>
        </w:div>
        <w:div w:id="1394430401">
          <w:marLeft w:val="547"/>
          <w:marRight w:val="0"/>
          <w:marTop w:val="200"/>
          <w:marBottom w:val="0"/>
          <w:divBdr>
            <w:top w:val="none" w:sz="0" w:space="0" w:color="auto"/>
            <w:left w:val="none" w:sz="0" w:space="0" w:color="auto"/>
            <w:bottom w:val="none" w:sz="0" w:space="0" w:color="auto"/>
            <w:right w:val="none" w:sz="0" w:space="0" w:color="auto"/>
          </w:divBdr>
        </w:div>
        <w:div w:id="1727334056">
          <w:marLeft w:val="547"/>
          <w:marRight w:val="0"/>
          <w:marTop w:val="200"/>
          <w:marBottom w:val="0"/>
          <w:divBdr>
            <w:top w:val="none" w:sz="0" w:space="0" w:color="auto"/>
            <w:left w:val="none" w:sz="0" w:space="0" w:color="auto"/>
            <w:bottom w:val="none" w:sz="0" w:space="0" w:color="auto"/>
            <w:right w:val="none" w:sz="0" w:space="0" w:color="auto"/>
          </w:divBdr>
        </w:div>
        <w:div w:id="1738434560">
          <w:marLeft w:val="547"/>
          <w:marRight w:val="0"/>
          <w:marTop w:val="200"/>
          <w:marBottom w:val="0"/>
          <w:divBdr>
            <w:top w:val="none" w:sz="0" w:space="0" w:color="auto"/>
            <w:left w:val="none" w:sz="0" w:space="0" w:color="auto"/>
            <w:bottom w:val="none" w:sz="0" w:space="0" w:color="auto"/>
            <w:right w:val="none" w:sz="0" w:space="0" w:color="auto"/>
          </w:divBdr>
        </w:div>
      </w:divsChild>
    </w:div>
    <w:div w:id="2081976091">
      <w:bodyDiv w:val="1"/>
      <w:marLeft w:val="0"/>
      <w:marRight w:val="0"/>
      <w:marTop w:val="0"/>
      <w:marBottom w:val="0"/>
      <w:divBdr>
        <w:top w:val="none" w:sz="0" w:space="0" w:color="auto"/>
        <w:left w:val="none" w:sz="0" w:space="0" w:color="auto"/>
        <w:bottom w:val="none" w:sz="0" w:space="0" w:color="auto"/>
        <w:right w:val="none" w:sz="0" w:space="0" w:color="auto"/>
      </w:divBdr>
      <w:divsChild>
        <w:div w:id="177813188">
          <w:marLeft w:val="446"/>
          <w:marRight w:val="0"/>
          <w:marTop w:val="0"/>
          <w:marBottom w:val="0"/>
          <w:divBdr>
            <w:top w:val="none" w:sz="0" w:space="0" w:color="auto"/>
            <w:left w:val="none" w:sz="0" w:space="0" w:color="auto"/>
            <w:bottom w:val="none" w:sz="0" w:space="0" w:color="auto"/>
            <w:right w:val="none" w:sz="0" w:space="0" w:color="auto"/>
          </w:divBdr>
        </w:div>
        <w:div w:id="214856602">
          <w:marLeft w:val="446"/>
          <w:marRight w:val="0"/>
          <w:marTop w:val="0"/>
          <w:marBottom w:val="0"/>
          <w:divBdr>
            <w:top w:val="none" w:sz="0" w:space="0" w:color="auto"/>
            <w:left w:val="none" w:sz="0" w:space="0" w:color="auto"/>
            <w:bottom w:val="none" w:sz="0" w:space="0" w:color="auto"/>
            <w:right w:val="none" w:sz="0" w:space="0" w:color="auto"/>
          </w:divBdr>
        </w:div>
        <w:div w:id="413819646">
          <w:marLeft w:val="446"/>
          <w:marRight w:val="0"/>
          <w:marTop w:val="0"/>
          <w:marBottom w:val="0"/>
          <w:divBdr>
            <w:top w:val="none" w:sz="0" w:space="0" w:color="auto"/>
            <w:left w:val="none" w:sz="0" w:space="0" w:color="auto"/>
            <w:bottom w:val="none" w:sz="0" w:space="0" w:color="auto"/>
            <w:right w:val="none" w:sz="0" w:space="0" w:color="auto"/>
          </w:divBdr>
        </w:div>
        <w:div w:id="1578514745">
          <w:marLeft w:val="446"/>
          <w:marRight w:val="0"/>
          <w:marTop w:val="0"/>
          <w:marBottom w:val="0"/>
          <w:divBdr>
            <w:top w:val="none" w:sz="0" w:space="0" w:color="auto"/>
            <w:left w:val="none" w:sz="0" w:space="0" w:color="auto"/>
            <w:bottom w:val="none" w:sz="0" w:space="0" w:color="auto"/>
            <w:right w:val="none" w:sz="0" w:space="0" w:color="auto"/>
          </w:divBdr>
        </w:div>
        <w:div w:id="1641808495">
          <w:marLeft w:val="446"/>
          <w:marRight w:val="0"/>
          <w:marTop w:val="0"/>
          <w:marBottom w:val="0"/>
          <w:divBdr>
            <w:top w:val="none" w:sz="0" w:space="0" w:color="auto"/>
            <w:left w:val="none" w:sz="0" w:space="0" w:color="auto"/>
            <w:bottom w:val="none" w:sz="0" w:space="0" w:color="auto"/>
            <w:right w:val="none" w:sz="0" w:space="0" w:color="auto"/>
          </w:divBdr>
        </w:div>
        <w:div w:id="1692994526">
          <w:marLeft w:val="446"/>
          <w:marRight w:val="0"/>
          <w:marTop w:val="0"/>
          <w:marBottom w:val="0"/>
          <w:divBdr>
            <w:top w:val="none" w:sz="0" w:space="0" w:color="auto"/>
            <w:left w:val="none" w:sz="0" w:space="0" w:color="auto"/>
            <w:bottom w:val="none" w:sz="0" w:space="0" w:color="auto"/>
            <w:right w:val="none" w:sz="0" w:space="0" w:color="auto"/>
          </w:divBdr>
        </w:div>
        <w:div w:id="1796097414">
          <w:marLeft w:val="446"/>
          <w:marRight w:val="0"/>
          <w:marTop w:val="0"/>
          <w:marBottom w:val="0"/>
          <w:divBdr>
            <w:top w:val="none" w:sz="0" w:space="0" w:color="auto"/>
            <w:left w:val="none" w:sz="0" w:space="0" w:color="auto"/>
            <w:bottom w:val="none" w:sz="0" w:space="0" w:color="auto"/>
            <w:right w:val="none" w:sz="0" w:space="0" w:color="auto"/>
          </w:divBdr>
        </w:div>
        <w:div w:id="1874883840">
          <w:marLeft w:val="446"/>
          <w:marRight w:val="0"/>
          <w:marTop w:val="0"/>
          <w:marBottom w:val="0"/>
          <w:divBdr>
            <w:top w:val="none" w:sz="0" w:space="0" w:color="auto"/>
            <w:left w:val="none" w:sz="0" w:space="0" w:color="auto"/>
            <w:bottom w:val="none" w:sz="0" w:space="0" w:color="auto"/>
            <w:right w:val="none" w:sz="0" w:space="0" w:color="auto"/>
          </w:divBdr>
        </w:div>
        <w:div w:id="1923366205">
          <w:marLeft w:val="446"/>
          <w:marRight w:val="0"/>
          <w:marTop w:val="0"/>
          <w:marBottom w:val="0"/>
          <w:divBdr>
            <w:top w:val="none" w:sz="0" w:space="0" w:color="auto"/>
            <w:left w:val="none" w:sz="0" w:space="0" w:color="auto"/>
            <w:bottom w:val="none" w:sz="0" w:space="0" w:color="auto"/>
            <w:right w:val="none" w:sz="0" w:space="0" w:color="auto"/>
          </w:divBdr>
        </w:div>
        <w:div w:id="1973559107">
          <w:marLeft w:val="446"/>
          <w:marRight w:val="0"/>
          <w:marTop w:val="0"/>
          <w:marBottom w:val="0"/>
          <w:divBdr>
            <w:top w:val="none" w:sz="0" w:space="0" w:color="auto"/>
            <w:left w:val="none" w:sz="0" w:space="0" w:color="auto"/>
            <w:bottom w:val="none" w:sz="0" w:space="0" w:color="auto"/>
            <w:right w:val="none" w:sz="0" w:space="0" w:color="auto"/>
          </w:divBdr>
        </w:div>
        <w:div w:id="2008437195">
          <w:marLeft w:val="446"/>
          <w:marRight w:val="0"/>
          <w:marTop w:val="0"/>
          <w:marBottom w:val="0"/>
          <w:divBdr>
            <w:top w:val="none" w:sz="0" w:space="0" w:color="auto"/>
            <w:left w:val="none" w:sz="0" w:space="0" w:color="auto"/>
            <w:bottom w:val="none" w:sz="0" w:space="0" w:color="auto"/>
            <w:right w:val="none" w:sz="0" w:space="0" w:color="auto"/>
          </w:divBdr>
        </w:div>
        <w:div w:id="2023050400">
          <w:marLeft w:val="446"/>
          <w:marRight w:val="0"/>
          <w:marTop w:val="0"/>
          <w:marBottom w:val="0"/>
          <w:divBdr>
            <w:top w:val="none" w:sz="0" w:space="0" w:color="auto"/>
            <w:left w:val="none" w:sz="0" w:space="0" w:color="auto"/>
            <w:bottom w:val="none" w:sz="0" w:space="0" w:color="auto"/>
            <w:right w:val="none" w:sz="0" w:space="0" w:color="auto"/>
          </w:divBdr>
        </w:div>
      </w:divsChild>
    </w:div>
    <w:div w:id="2101948934">
      <w:bodyDiv w:val="1"/>
      <w:marLeft w:val="0"/>
      <w:marRight w:val="0"/>
      <w:marTop w:val="0"/>
      <w:marBottom w:val="0"/>
      <w:divBdr>
        <w:top w:val="none" w:sz="0" w:space="0" w:color="auto"/>
        <w:left w:val="none" w:sz="0" w:space="0" w:color="auto"/>
        <w:bottom w:val="none" w:sz="0" w:space="0" w:color="auto"/>
        <w:right w:val="none" w:sz="0" w:space="0" w:color="auto"/>
      </w:divBdr>
      <w:divsChild>
        <w:div w:id="106507869">
          <w:marLeft w:val="547"/>
          <w:marRight w:val="0"/>
          <w:marTop w:val="0"/>
          <w:marBottom w:val="0"/>
          <w:divBdr>
            <w:top w:val="none" w:sz="0" w:space="0" w:color="auto"/>
            <w:left w:val="none" w:sz="0" w:space="0" w:color="auto"/>
            <w:bottom w:val="none" w:sz="0" w:space="0" w:color="auto"/>
            <w:right w:val="none" w:sz="0" w:space="0" w:color="auto"/>
          </w:divBdr>
        </w:div>
        <w:div w:id="697434880">
          <w:marLeft w:val="547"/>
          <w:marRight w:val="0"/>
          <w:marTop w:val="0"/>
          <w:marBottom w:val="0"/>
          <w:divBdr>
            <w:top w:val="none" w:sz="0" w:space="0" w:color="auto"/>
            <w:left w:val="none" w:sz="0" w:space="0" w:color="auto"/>
            <w:bottom w:val="none" w:sz="0" w:space="0" w:color="auto"/>
            <w:right w:val="none" w:sz="0" w:space="0" w:color="auto"/>
          </w:divBdr>
        </w:div>
        <w:div w:id="991326402">
          <w:marLeft w:val="547"/>
          <w:marRight w:val="0"/>
          <w:marTop w:val="0"/>
          <w:marBottom w:val="0"/>
          <w:divBdr>
            <w:top w:val="none" w:sz="0" w:space="0" w:color="auto"/>
            <w:left w:val="none" w:sz="0" w:space="0" w:color="auto"/>
            <w:bottom w:val="none" w:sz="0" w:space="0" w:color="auto"/>
            <w:right w:val="none" w:sz="0" w:space="0" w:color="auto"/>
          </w:divBdr>
        </w:div>
      </w:divsChild>
    </w:div>
    <w:div w:id="2127921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26">
          <w:marLeft w:val="446"/>
          <w:marRight w:val="0"/>
          <w:marTop w:val="0"/>
          <w:marBottom w:val="0"/>
          <w:divBdr>
            <w:top w:val="none" w:sz="0" w:space="0" w:color="auto"/>
            <w:left w:val="none" w:sz="0" w:space="0" w:color="auto"/>
            <w:bottom w:val="none" w:sz="0" w:space="0" w:color="auto"/>
            <w:right w:val="none" w:sz="0" w:space="0" w:color="auto"/>
          </w:divBdr>
        </w:div>
        <w:div w:id="21150497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creativecommons.or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nacc.gov.au/" TargetMode="External"/><Relationship Id="rId20" Type="http://schemas.openxmlformats.org/officeDocument/2006/relationships/hyperlink" Target="https://www.pmc.gov.au/resources/commonwealth-coat-arms-information-and-guideline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s://www.creativecommons.org/licenses/by/4.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yperlink" Target="https://www.nacc.gov.au/what-serious-or-systemic-corrupt-conduct" TargetMode="External"/><Relationship Id="rId30"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NACC factsheets">
  <a:themeElements>
    <a:clrScheme name="Factsheets">
      <a:dk1>
        <a:srgbClr val="1B598C"/>
      </a:dk1>
      <a:lt1>
        <a:srgbClr val="E1E8F6"/>
      </a:lt1>
      <a:dk2>
        <a:srgbClr val="2F3A48"/>
      </a:dk2>
      <a:lt2>
        <a:srgbClr val="F1F4FA"/>
      </a:lt2>
      <a:accent1>
        <a:srgbClr val="54C6D3"/>
      </a:accent1>
      <a:accent2>
        <a:srgbClr val="19B1C3"/>
      </a:accent2>
      <a:accent3>
        <a:srgbClr val="1A5A8D"/>
      </a:accent3>
      <a:accent4>
        <a:srgbClr val="44546A"/>
      </a:accent4>
      <a:accent5>
        <a:srgbClr val="FFFFFF"/>
      </a:accent5>
      <a:accent6>
        <a:srgbClr val="2F3A48"/>
      </a:accent6>
      <a:hlink>
        <a:srgbClr val="0563C1"/>
      </a:hlink>
      <a:folHlink>
        <a:srgbClr val="954F72"/>
      </a:folHlink>
    </a:clrScheme>
    <a:fontScheme name="Custom 1">
      <a:majorFont>
        <a:latin typeface="Work Sans"/>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F3162-3935-4D16-8D11-CC632987C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8893</Words>
  <Characters>50696</Characters>
  <Application>Microsoft Office Word</Application>
  <DocSecurity>0</DocSecurity>
  <Lines>422</Lines>
  <Paragraphs>118</Paragraphs>
  <ScaleCrop>false</ScaleCrop>
  <Company/>
  <LinksUpToDate>false</LinksUpToDate>
  <CharactersWithSpaces>59471</CharactersWithSpaces>
  <SharedDoc>false</SharedDoc>
  <HLinks>
    <vt:vector size="354" baseType="variant">
      <vt:variant>
        <vt:i4>262216</vt:i4>
      </vt:variant>
      <vt:variant>
        <vt:i4>186</vt:i4>
      </vt:variant>
      <vt:variant>
        <vt:i4>0</vt:i4>
      </vt:variant>
      <vt:variant>
        <vt:i4>5</vt:i4>
      </vt:variant>
      <vt:variant>
        <vt:lpwstr>https://www.apsc.gov.au/</vt:lpwstr>
      </vt:variant>
      <vt:variant>
        <vt:lpwstr/>
      </vt:variant>
      <vt:variant>
        <vt:i4>4849693</vt:i4>
      </vt:variant>
      <vt:variant>
        <vt:i4>183</vt:i4>
      </vt:variant>
      <vt:variant>
        <vt:i4>0</vt:i4>
      </vt:variant>
      <vt:variant>
        <vt:i4>5</vt:i4>
      </vt:variant>
      <vt:variant>
        <vt:lpwstr>http://www.legislation.gov.au/Series/C2004A02068</vt:lpwstr>
      </vt:variant>
      <vt:variant>
        <vt:lpwstr/>
      </vt:variant>
      <vt:variant>
        <vt:i4>4456474</vt:i4>
      </vt:variant>
      <vt:variant>
        <vt:i4>180</vt:i4>
      </vt:variant>
      <vt:variant>
        <vt:i4>0</vt:i4>
      </vt:variant>
      <vt:variant>
        <vt:i4>5</vt:i4>
      </vt:variant>
      <vt:variant>
        <vt:lpwstr>http://www.legislation.gov.au/Series/C2004A02711</vt:lpwstr>
      </vt:variant>
      <vt:variant>
        <vt:lpwstr/>
      </vt:variant>
      <vt:variant>
        <vt:i4>131100</vt:i4>
      </vt:variant>
      <vt:variant>
        <vt:i4>177</vt:i4>
      </vt:variant>
      <vt:variant>
        <vt:i4>0</vt:i4>
      </vt:variant>
      <vt:variant>
        <vt:i4>5</vt:i4>
      </vt:variant>
      <vt:variant>
        <vt:lpwstr>https://www.legislation.gov.au/Series/C2004A00536</vt:lpwstr>
      </vt:variant>
      <vt:variant>
        <vt:lpwstr/>
      </vt:variant>
      <vt:variant>
        <vt:i4>7077948</vt:i4>
      </vt:variant>
      <vt:variant>
        <vt:i4>174</vt:i4>
      </vt:variant>
      <vt:variant>
        <vt:i4>0</vt:i4>
      </vt:variant>
      <vt:variant>
        <vt:i4>5</vt:i4>
      </vt:variant>
      <vt:variant>
        <vt:lpwstr>https://www.finance.gov.au/government/procurement/contract-management-guide</vt:lpwstr>
      </vt:variant>
      <vt:variant>
        <vt:lpwstr/>
      </vt:variant>
      <vt:variant>
        <vt:i4>786453</vt:i4>
      </vt:variant>
      <vt:variant>
        <vt:i4>171</vt:i4>
      </vt:variant>
      <vt:variant>
        <vt:i4>0</vt:i4>
      </vt:variant>
      <vt:variant>
        <vt:i4>5</vt:i4>
      </vt:variant>
      <vt:variant>
        <vt:lpwstr>https://www.legislation.gov.au/Series/F2014L00911</vt:lpwstr>
      </vt:variant>
      <vt:variant>
        <vt:lpwstr/>
      </vt:variant>
      <vt:variant>
        <vt:i4>1376348</vt:i4>
      </vt:variant>
      <vt:variant>
        <vt:i4>168</vt:i4>
      </vt:variant>
      <vt:variant>
        <vt:i4>0</vt:i4>
      </vt:variant>
      <vt:variant>
        <vt:i4>5</vt:i4>
      </vt:variant>
      <vt:variant>
        <vt:lpwstr>https://www.oaic.gov.au/</vt:lpwstr>
      </vt:variant>
      <vt:variant>
        <vt:lpwstr/>
      </vt:variant>
      <vt:variant>
        <vt:i4>1376304</vt:i4>
      </vt:variant>
      <vt:variant>
        <vt:i4>164</vt:i4>
      </vt:variant>
      <vt:variant>
        <vt:i4>0</vt:i4>
      </vt:variant>
      <vt:variant>
        <vt:i4>5</vt:i4>
      </vt:variant>
      <vt:variant>
        <vt:lpwstr/>
      </vt:variant>
      <vt:variant>
        <vt:lpwstr>_Toc134016479</vt:lpwstr>
      </vt:variant>
      <vt:variant>
        <vt:i4>1376304</vt:i4>
      </vt:variant>
      <vt:variant>
        <vt:i4>161</vt:i4>
      </vt:variant>
      <vt:variant>
        <vt:i4>0</vt:i4>
      </vt:variant>
      <vt:variant>
        <vt:i4>5</vt:i4>
      </vt:variant>
      <vt:variant>
        <vt:lpwstr/>
      </vt:variant>
      <vt:variant>
        <vt:lpwstr>_Toc134016478</vt:lpwstr>
      </vt:variant>
      <vt:variant>
        <vt:i4>1376304</vt:i4>
      </vt:variant>
      <vt:variant>
        <vt:i4>158</vt:i4>
      </vt:variant>
      <vt:variant>
        <vt:i4>0</vt:i4>
      </vt:variant>
      <vt:variant>
        <vt:i4>5</vt:i4>
      </vt:variant>
      <vt:variant>
        <vt:lpwstr/>
      </vt:variant>
      <vt:variant>
        <vt:lpwstr>_Toc134016477</vt:lpwstr>
      </vt:variant>
      <vt:variant>
        <vt:i4>1376304</vt:i4>
      </vt:variant>
      <vt:variant>
        <vt:i4>155</vt:i4>
      </vt:variant>
      <vt:variant>
        <vt:i4>0</vt:i4>
      </vt:variant>
      <vt:variant>
        <vt:i4>5</vt:i4>
      </vt:variant>
      <vt:variant>
        <vt:lpwstr/>
      </vt:variant>
      <vt:variant>
        <vt:lpwstr>_Toc134016476</vt:lpwstr>
      </vt:variant>
      <vt:variant>
        <vt:i4>1376304</vt:i4>
      </vt:variant>
      <vt:variant>
        <vt:i4>152</vt:i4>
      </vt:variant>
      <vt:variant>
        <vt:i4>0</vt:i4>
      </vt:variant>
      <vt:variant>
        <vt:i4>5</vt:i4>
      </vt:variant>
      <vt:variant>
        <vt:lpwstr/>
      </vt:variant>
      <vt:variant>
        <vt:lpwstr>_Toc134016475</vt:lpwstr>
      </vt:variant>
      <vt:variant>
        <vt:i4>1376304</vt:i4>
      </vt:variant>
      <vt:variant>
        <vt:i4>149</vt:i4>
      </vt:variant>
      <vt:variant>
        <vt:i4>0</vt:i4>
      </vt:variant>
      <vt:variant>
        <vt:i4>5</vt:i4>
      </vt:variant>
      <vt:variant>
        <vt:lpwstr/>
      </vt:variant>
      <vt:variant>
        <vt:lpwstr>_Toc134016474</vt:lpwstr>
      </vt:variant>
      <vt:variant>
        <vt:i4>1376304</vt:i4>
      </vt:variant>
      <vt:variant>
        <vt:i4>143</vt:i4>
      </vt:variant>
      <vt:variant>
        <vt:i4>0</vt:i4>
      </vt:variant>
      <vt:variant>
        <vt:i4>5</vt:i4>
      </vt:variant>
      <vt:variant>
        <vt:lpwstr/>
      </vt:variant>
      <vt:variant>
        <vt:lpwstr>_Toc134016473</vt:lpwstr>
      </vt:variant>
      <vt:variant>
        <vt:i4>1376304</vt:i4>
      </vt:variant>
      <vt:variant>
        <vt:i4>137</vt:i4>
      </vt:variant>
      <vt:variant>
        <vt:i4>0</vt:i4>
      </vt:variant>
      <vt:variant>
        <vt:i4>5</vt:i4>
      </vt:variant>
      <vt:variant>
        <vt:lpwstr/>
      </vt:variant>
      <vt:variant>
        <vt:lpwstr>_Toc134016472</vt:lpwstr>
      </vt:variant>
      <vt:variant>
        <vt:i4>1376304</vt:i4>
      </vt:variant>
      <vt:variant>
        <vt:i4>131</vt:i4>
      </vt:variant>
      <vt:variant>
        <vt:i4>0</vt:i4>
      </vt:variant>
      <vt:variant>
        <vt:i4>5</vt:i4>
      </vt:variant>
      <vt:variant>
        <vt:lpwstr/>
      </vt:variant>
      <vt:variant>
        <vt:lpwstr>_Toc134016471</vt:lpwstr>
      </vt:variant>
      <vt:variant>
        <vt:i4>1376304</vt:i4>
      </vt:variant>
      <vt:variant>
        <vt:i4>128</vt:i4>
      </vt:variant>
      <vt:variant>
        <vt:i4>0</vt:i4>
      </vt:variant>
      <vt:variant>
        <vt:i4>5</vt:i4>
      </vt:variant>
      <vt:variant>
        <vt:lpwstr/>
      </vt:variant>
      <vt:variant>
        <vt:lpwstr>_Toc134016470</vt:lpwstr>
      </vt:variant>
      <vt:variant>
        <vt:i4>1310768</vt:i4>
      </vt:variant>
      <vt:variant>
        <vt:i4>125</vt:i4>
      </vt:variant>
      <vt:variant>
        <vt:i4>0</vt:i4>
      </vt:variant>
      <vt:variant>
        <vt:i4>5</vt:i4>
      </vt:variant>
      <vt:variant>
        <vt:lpwstr/>
      </vt:variant>
      <vt:variant>
        <vt:lpwstr>_Toc134016469</vt:lpwstr>
      </vt:variant>
      <vt:variant>
        <vt:i4>1310768</vt:i4>
      </vt:variant>
      <vt:variant>
        <vt:i4>122</vt:i4>
      </vt:variant>
      <vt:variant>
        <vt:i4>0</vt:i4>
      </vt:variant>
      <vt:variant>
        <vt:i4>5</vt:i4>
      </vt:variant>
      <vt:variant>
        <vt:lpwstr/>
      </vt:variant>
      <vt:variant>
        <vt:lpwstr>_Toc134016468</vt:lpwstr>
      </vt:variant>
      <vt:variant>
        <vt:i4>1310768</vt:i4>
      </vt:variant>
      <vt:variant>
        <vt:i4>119</vt:i4>
      </vt:variant>
      <vt:variant>
        <vt:i4>0</vt:i4>
      </vt:variant>
      <vt:variant>
        <vt:i4>5</vt:i4>
      </vt:variant>
      <vt:variant>
        <vt:lpwstr/>
      </vt:variant>
      <vt:variant>
        <vt:lpwstr>_Toc134016467</vt:lpwstr>
      </vt:variant>
      <vt:variant>
        <vt:i4>1310768</vt:i4>
      </vt:variant>
      <vt:variant>
        <vt:i4>116</vt:i4>
      </vt:variant>
      <vt:variant>
        <vt:i4>0</vt:i4>
      </vt:variant>
      <vt:variant>
        <vt:i4>5</vt:i4>
      </vt:variant>
      <vt:variant>
        <vt:lpwstr/>
      </vt:variant>
      <vt:variant>
        <vt:lpwstr>_Toc134016466</vt:lpwstr>
      </vt:variant>
      <vt:variant>
        <vt:i4>1310768</vt:i4>
      </vt:variant>
      <vt:variant>
        <vt:i4>110</vt:i4>
      </vt:variant>
      <vt:variant>
        <vt:i4>0</vt:i4>
      </vt:variant>
      <vt:variant>
        <vt:i4>5</vt:i4>
      </vt:variant>
      <vt:variant>
        <vt:lpwstr/>
      </vt:variant>
      <vt:variant>
        <vt:lpwstr>_Toc134016465</vt:lpwstr>
      </vt:variant>
      <vt:variant>
        <vt:i4>1310768</vt:i4>
      </vt:variant>
      <vt:variant>
        <vt:i4>104</vt:i4>
      </vt:variant>
      <vt:variant>
        <vt:i4>0</vt:i4>
      </vt:variant>
      <vt:variant>
        <vt:i4>5</vt:i4>
      </vt:variant>
      <vt:variant>
        <vt:lpwstr/>
      </vt:variant>
      <vt:variant>
        <vt:lpwstr>_Toc134016464</vt:lpwstr>
      </vt:variant>
      <vt:variant>
        <vt:i4>1310768</vt:i4>
      </vt:variant>
      <vt:variant>
        <vt:i4>98</vt:i4>
      </vt:variant>
      <vt:variant>
        <vt:i4>0</vt:i4>
      </vt:variant>
      <vt:variant>
        <vt:i4>5</vt:i4>
      </vt:variant>
      <vt:variant>
        <vt:lpwstr/>
      </vt:variant>
      <vt:variant>
        <vt:lpwstr>_Toc134016463</vt:lpwstr>
      </vt:variant>
      <vt:variant>
        <vt:i4>1310768</vt:i4>
      </vt:variant>
      <vt:variant>
        <vt:i4>92</vt:i4>
      </vt:variant>
      <vt:variant>
        <vt:i4>0</vt:i4>
      </vt:variant>
      <vt:variant>
        <vt:i4>5</vt:i4>
      </vt:variant>
      <vt:variant>
        <vt:lpwstr/>
      </vt:variant>
      <vt:variant>
        <vt:lpwstr>_Toc134016462</vt:lpwstr>
      </vt:variant>
      <vt:variant>
        <vt:i4>1310768</vt:i4>
      </vt:variant>
      <vt:variant>
        <vt:i4>86</vt:i4>
      </vt:variant>
      <vt:variant>
        <vt:i4>0</vt:i4>
      </vt:variant>
      <vt:variant>
        <vt:i4>5</vt:i4>
      </vt:variant>
      <vt:variant>
        <vt:lpwstr/>
      </vt:variant>
      <vt:variant>
        <vt:lpwstr>_Toc134016461</vt:lpwstr>
      </vt:variant>
      <vt:variant>
        <vt:i4>1310768</vt:i4>
      </vt:variant>
      <vt:variant>
        <vt:i4>80</vt:i4>
      </vt:variant>
      <vt:variant>
        <vt:i4>0</vt:i4>
      </vt:variant>
      <vt:variant>
        <vt:i4>5</vt:i4>
      </vt:variant>
      <vt:variant>
        <vt:lpwstr/>
      </vt:variant>
      <vt:variant>
        <vt:lpwstr>_Toc134016460</vt:lpwstr>
      </vt:variant>
      <vt:variant>
        <vt:i4>1507376</vt:i4>
      </vt:variant>
      <vt:variant>
        <vt:i4>74</vt:i4>
      </vt:variant>
      <vt:variant>
        <vt:i4>0</vt:i4>
      </vt:variant>
      <vt:variant>
        <vt:i4>5</vt:i4>
      </vt:variant>
      <vt:variant>
        <vt:lpwstr/>
      </vt:variant>
      <vt:variant>
        <vt:lpwstr>_Toc134016459</vt:lpwstr>
      </vt:variant>
      <vt:variant>
        <vt:i4>1507376</vt:i4>
      </vt:variant>
      <vt:variant>
        <vt:i4>71</vt:i4>
      </vt:variant>
      <vt:variant>
        <vt:i4>0</vt:i4>
      </vt:variant>
      <vt:variant>
        <vt:i4>5</vt:i4>
      </vt:variant>
      <vt:variant>
        <vt:lpwstr/>
      </vt:variant>
      <vt:variant>
        <vt:lpwstr>_Toc134016458</vt:lpwstr>
      </vt:variant>
      <vt:variant>
        <vt:i4>1507376</vt:i4>
      </vt:variant>
      <vt:variant>
        <vt:i4>68</vt:i4>
      </vt:variant>
      <vt:variant>
        <vt:i4>0</vt:i4>
      </vt:variant>
      <vt:variant>
        <vt:i4>5</vt:i4>
      </vt:variant>
      <vt:variant>
        <vt:lpwstr/>
      </vt:variant>
      <vt:variant>
        <vt:lpwstr>_Toc134016457</vt:lpwstr>
      </vt:variant>
      <vt:variant>
        <vt:i4>1507376</vt:i4>
      </vt:variant>
      <vt:variant>
        <vt:i4>65</vt:i4>
      </vt:variant>
      <vt:variant>
        <vt:i4>0</vt:i4>
      </vt:variant>
      <vt:variant>
        <vt:i4>5</vt:i4>
      </vt:variant>
      <vt:variant>
        <vt:lpwstr/>
      </vt:variant>
      <vt:variant>
        <vt:lpwstr>_Toc134016456</vt:lpwstr>
      </vt:variant>
      <vt:variant>
        <vt:i4>1507376</vt:i4>
      </vt:variant>
      <vt:variant>
        <vt:i4>62</vt:i4>
      </vt:variant>
      <vt:variant>
        <vt:i4>0</vt:i4>
      </vt:variant>
      <vt:variant>
        <vt:i4>5</vt:i4>
      </vt:variant>
      <vt:variant>
        <vt:lpwstr/>
      </vt:variant>
      <vt:variant>
        <vt:lpwstr>_Toc134016455</vt:lpwstr>
      </vt:variant>
      <vt:variant>
        <vt:i4>1507376</vt:i4>
      </vt:variant>
      <vt:variant>
        <vt:i4>59</vt:i4>
      </vt:variant>
      <vt:variant>
        <vt:i4>0</vt:i4>
      </vt:variant>
      <vt:variant>
        <vt:i4>5</vt:i4>
      </vt:variant>
      <vt:variant>
        <vt:lpwstr/>
      </vt:variant>
      <vt:variant>
        <vt:lpwstr>_Toc134016454</vt:lpwstr>
      </vt:variant>
      <vt:variant>
        <vt:i4>1507376</vt:i4>
      </vt:variant>
      <vt:variant>
        <vt:i4>56</vt:i4>
      </vt:variant>
      <vt:variant>
        <vt:i4>0</vt:i4>
      </vt:variant>
      <vt:variant>
        <vt:i4>5</vt:i4>
      </vt:variant>
      <vt:variant>
        <vt:lpwstr/>
      </vt:variant>
      <vt:variant>
        <vt:lpwstr>_Toc134016453</vt:lpwstr>
      </vt:variant>
      <vt:variant>
        <vt:i4>1507376</vt:i4>
      </vt:variant>
      <vt:variant>
        <vt:i4>53</vt:i4>
      </vt:variant>
      <vt:variant>
        <vt:i4>0</vt:i4>
      </vt:variant>
      <vt:variant>
        <vt:i4>5</vt:i4>
      </vt:variant>
      <vt:variant>
        <vt:lpwstr/>
      </vt:variant>
      <vt:variant>
        <vt:lpwstr>_Toc134016452</vt:lpwstr>
      </vt:variant>
      <vt:variant>
        <vt:i4>1507376</vt:i4>
      </vt:variant>
      <vt:variant>
        <vt:i4>50</vt:i4>
      </vt:variant>
      <vt:variant>
        <vt:i4>0</vt:i4>
      </vt:variant>
      <vt:variant>
        <vt:i4>5</vt:i4>
      </vt:variant>
      <vt:variant>
        <vt:lpwstr/>
      </vt:variant>
      <vt:variant>
        <vt:lpwstr>_Toc134016451</vt:lpwstr>
      </vt:variant>
      <vt:variant>
        <vt:i4>1507376</vt:i4>
      </vt:variant>
      <vt:variant>
        <vt:i4>47</vt:i4>
      </vt:variant>
      <vt:variant>
        <vt:i4>0</vt:i4>
      </vt:variant>
      <vt:variant>
        <vt:i4>5</vt:i4>
      </vt:variant>
      <vt:variant>
        <vt:lpwstr/>
      </vt:variant>
      <vt:variant>
        <vt:lpwstr>_Toc134016450</vt:lpwstr>
      </vt:variant>
      <vt:variant>
        <vt:i4>1441840</vt:i4>
      </vt:variant>
      <vt:variant>
        <vt:i4>44</vt:i4>
      </vt:variant>
      <vt:variant>
        <vt:i4>0</vt:i4>
      </vt:variant>
      <vt:variant>
        <vt:i4>5</vt:i4>
      </vt:variant>
      <vt:variant>
        <vt:lpwstr/>
      </vt:variant>
      <vt:variant>
        <vt:lpwstr>_Toc134016449</vt:lpwstr>
      </vt:variant>
      <vt:variant>
        <vt:i4>1441840</vt:i4>
      </vt:variant>
      <vt:variant>
        <vt:i4>41</vt:i4>
      </vt:variant>
      <vt:variant>
        <vt:i4>0</vt:i4>
      </vt:variant>
      <vt:variant>
        <vt:i4>5</vt:i4>
      </vt:variant>
      <vt:variant>
        <vt:lpwstr/>
      </vt:variant>
      <vt:variant>
        <vt:lpwstr>_Toc134016448</vt:lpwstr>
      </vt:variant>
      <vt:variant>
        <vt:i4>1441840</vt:i4>
      </vt:variant>
      <vt:variant>
        <vt:i4>38</vt:i4>
      </vt:variant>
      <vt:variant>
        <vt:i4>0</vt:i4>
      </vt:variant>
      <vt:variant>
        <vt:i4>5</vt:i4>
      </vt:variant>
      <vt:variant>
        <vt:lpwstr/>
      </vt:variant>
      <vt:variant>
        <vt:lpwstr>_Toc134016447</vt:lpwstr>
      </vt:variant>
      <vt:variant>
        <vt:i4>1441840</vt:i4>
      </vt:variant>
      <vt:variant>
        <vt:i4>35</vt:i4>
      </vt:variant>
      <vt:variant>
        <vt:i4>0</vt:i4>
      </vt:variant>
      <vt:variant>
        <vt:i4>5</vt:i4>
      </vt:variant>
      <vt:variant>
        <vt:lpwstr/>
      </vt:variant>
      <vt:variant>
        <vt:lpwstr>_Toc134016446</vt:lpwstr>
      </vt:variant>
      <vt:variant>
        <vt:i4>1441840</vt:i4>
      </vt:variant>
      <vt:variant>
        <vt:i4>32</vt:i4>
      </vt:variant>
      <vt:variant>
        <vt:i4>0</vt:i4>
      </vt:variant>
      <vt:variant>
        <vt:i4>5</vt:i4>
      </vt:variant>
      <vt:variant>
        <vt:lpwstr/>
      </vt:variant>
      <vt:variant>
        <vt:lpwstr>_Toc134016445</vt:lpwstr>
      </vt:variant>
      <vt:variant>
        <vt:i4>1441840</vt:i4>
      </vt:variant>
      <vt:variant>
        <vt:i4>29</vt:i4>
      </vt:variant>
      <vt:variant>
        <vt:i4>0</vt:i4>
      </vt:variant>
      <vt:variant>
        <vt:i4>5</vt:i4>
      </vt:variant>
      <vt:variant>
        <vt:lpwstr/>
      </vt:variant>
      <vt:variant>
        <vt:lpwstr>_Toc134016444</vt:lpwstr>
      </vt:variant>
      <vt:variant>
        <vt:i4>1441840</vt:i4>
      </vt:variant>
      <vt:variant>
        <vt:i4>26</vt:i4>
      </vt:variant>
      <vt:variant>
        <vt:i4>0</vt:i4>
      </vt:variant>
      <vt:variant>
        <vt:i4>5</vt:i4>
      </vt:variant>
      <vt:variant>
        <vt:lpwstr/>
      </vt:variant>
      <vt:variant>
        <vt:lpwstr>_Toc134016443</vt:lpwstr>
      </vt:variant>
      <vt:variant>
        <vt:i4>1441840</vt:i4>
      </vt:variant>
      <vt:variant>
        <vt:i4>23</vt:i4>
      </vt:variant>
      <vt:variant>
        <vt:i4>0</vt:i4>
      </vt:variant>
      <vt:variant>
        <vt:i4>5</vt:i4>
      </vt:variant>
      <vt:variant>
        <vt:lpwstr/>
      </vt:variant>
      <vt:variant>
        <vt:lpwstr>_Toc134016442</vt:lpwstr>
      </vt:variant>
      <vt:variant>
        <vt:i4>1441840</vt:i4>
      </vt:variant>
      <vt:variant>
        <vt:i4>20</vt:i4>
      </vt:variant>
      <vt:variant>
        <vt:i4>0</vt:i4>
      </vt:variant>
      <vt:variant>
        <vt:i4>5</vt:i4>
      </vt:variant>
      <vt:variant>
        <vt:lpwstr/>
      </vt:variant>
      <vt:variant>
        <vt:lpwstr>_Toc134016441</vt:lpwstr>
      </vt:variant>
      <vt:variant>
        <vt:i4>1441840</vt:i4>
      </vt:variant>
      <vt:variant>
        <vt:i4>14</vt:i4>
      </vt:variant>
      <vt:variant>
        <vt:i4>0</vt:i4>
      </vt:variant>
      <vt:variant>
        <vt:i4>5</vt:i4>
      </vt:variant>
      <vt:variant>
        <vt:lpwstr/>
      </vt:variant>
      <vt:variant>
        <vt:lpwstr>_Toc134016440</vt:lpwstr>
      </vt:variant>
      <vt:variant>
        <vt:i4>1114160</vt:i4>
      </vt:variant>
      <vt:variant>
        <vt:i4>8</vt:i4>
      </vt:variant>
      <vt:variant>
        <vt:i4>0</vt:i4>
      </vt:variant>
      <vt:variant>
        <vt:i4>5</vt:i4>
      </vt:variant>
      <vt:variant>
        <vt:lpwstr/>
      </vt:variant>
      <vt:variant>
        <vt:lpwstr>_Toc134016439</vt:lpwstr>
      </vt:variant>
      <vt:variant>
        <vt:i4>1114160</vt:i4>
      </vt:variant>
      <vt:variant>
        <vt:i4>2</vt:i4>
      </vt:variant>
      <vt:variant>
        <vt:i4>0</vt:i4>
      </vt:variant>
      <vt:variant>
        <vt:i4>5</vt:i4>
      </vt:variant>
      <vt:variant>
        <vt:lpwstr/>
      </vt:variant>
      <vt:variant>
        <vt:lpwstr>_Toc134016438</vt:lpwstr>
      </vt:variant>
      <vt:variant>
        <vt:i4>2818111</vt:i4>
      </vt:variant>
      <vt:variant>
        <vt:i4>30</vt:i4>
      </vt:variant>
      <vt:variant>
        <vt:i4>0</vt:i4>
      </vt:variant>
      <vt:variant>
        <vt:i4>5</vt:i4>
      </vt:variant>
      <vt:variant>
        <vt:lpwstr>https://www.finance.gov.au/government/managing-commonwealth-resources/general-duties-officials-rmg-203</vt:lpwstr>
      </vt:variant>
      <vt:variant>
        <vt:lpwstr/>
      </vt:variant>
      <vt:variant>
        <vt:i4>1638413</vt:i4>
      </vt:variant>
      <vt:variant>
        <vt:i4>27</vt:i4>
      </vt:variant>
      <vt:variant>
        <vt:i4>0</vt:i4>
      </vt:variant>
      <vt:variant>
        <vt:i4>5</vt:i4>
      </vt:variant>
      <vt:variant>
        <vt:lpwstr>https://www.oaic.gov.au/about-the-OAIC/our-corporate-information/plans-policies-and-procedures/public-interest-disclosure-procedures</vt:lpwstr>
      </vt:variant>
      <vt:variant>
        <vt:lpwstr/>
      </vt:variant>
      <vt:variant>
        <vt:i4>7405607</vt:i4>
      </vt:variant>
      <vt:variant>
        <vt:i4>24</vt:i4>
      </vt:variant>
      <vt:variant>
        <vt:i4>0</vt:i4>
      </vt:variant>
      <vt:variant>
        <vt:i4>5</vt:i4>
      </vt:variant>
      <vt:variant>
        <vt:lpwstr>https://www.legislation.gov.au/Details/F2014C00919</vt:lpwstr>
      </vt:variant>
      <vt:variant>
        <vt:lpwstr/>
      </vt:variant>
      <vt:variant>
        <vt:i4>6750335</vt:i4>
      </vt:variant>
      <vt:variant>
        <vt:i4>21</vt:i4>
      </vt:variant>
      <vt:variant>
        <vt:i4>0</vt:i4>
      </vt:variant>
      <vt:variant>
        <vt:i4>5</vt:i4>
      </vt:variant>
      <vt:variant>
        <vt:lpwstr>https://www.finance.gov.au/government/managing-commonwealth-resources/implementing-commonwealth-risk-management-policy-rmg-211</vt:lpwstr>
      </vt:variant>
      <vt:variant>
        <vt:lpwstr/>
      </vt:variant>
      <vt:variant>
        <vt:i4>131100</vt:i4>
      </vt:variant>
      <vt:variant>
        <vt:i4>18</vt:i4>
      </vt:variant>
      <vt:variant>
        <vt:i4>0</vt:i4>
      </vt:variant>
      <vt:variant>
        <vt:i4>5</vt:i4>
      </vt:variant>
      <vt:variant>
        <vt:lpwstr>https://www.legislation.gov.au/Series/C2004A00536</vt:lpwstr>
      </vt:variant>
      <vt:variant>
        <vt:lpwstr/>
      </vt:variant>
      <vt:variant>
        <vt:i4>786433</vt:i4>
      </vt:variant>
      <vt:variant>
        <vt:i4>15</vt:i4>
      </vt:variant>
      <vt:variant>
        <vt:i4>0</vt:i4>
      </vt:variant>
      <vt:variant>
        <vt:i4>5</vt:i4>
      </vt:variant>
      <vt:variant>
        <vt:lpwstr>https://www.apsc.gov.au/working-aps/integrity/integrity-resources/code-of-conduct</vt:lpwstr>
      </vt:variant>
      <vt:variant>
        <vt:lpwstr/>
      </vt:variant>
      <vt:variant>
        <vt:i4>2031687</vt:i4>
      </vt:variant>
      <vt:variant>
        <vt:i4>12</vt:i4>
      </vt:variant>
      <vt:variant>
        <vt:i4>0</vt:i4>
      </vt:variant>
      <vt:variant>
        <vt:i4>5</vt:i4>
      </vt:variant>
      <vt:variant>
        <vt:lpwstr>https://www.apsc.gov.au/working-aps/information-aps-employment/aps-values</vt:lpwstr>
      </vt:variant>
      <vt:variant>
        <vt:lpwstr/>
      </vt:variant>
      <vt:variant>
        <vt:i4>7077948</vt:i4>
      </vt:variant>
      <vt:variant>
        <vt:i4>9</vt:i4>
      </vt:variant>
      <vt:variant>
        <vt:i4>0</vt:i4>
      </vt:variant>
      <vt:variant>
        <vt:i4>5</vt:i4>
      </vt:variant>
      <vt:variant>
        <vt:lpwstr>https://www.finance.gov.au/government/procurement/contract-management-guide</vt:lpwstr>
      </vt:variant>
      <vt:variant>
        <vt:lpwstr/>
      </vt:variant>
      <vt:variant>
        <vt:i4>3080272</vt:i4>
      </vt:variant>
      <vt:variant>
        <vt:i4>6</vt:i4>
      </vt:variant>
      <vt:variant>
        <vt:i4>0</vt:i4>
      </vt:variant>
      <vt:variant>
        <vt:i4>5</vt:i4>
      </vt:variant>
      <vt:variant>
        <vt:lpwstr>https://www.finance.gov.au/sites/default/files/2023-07/Flipchart 3 July 2023 - FINAL_2.pdf</vt:lpwstr>
      </vt:variant>
      <vt:variant>
        <vt:lpwstr/>
      </vt:variant>
      <vt:variant>
        <vt:i4>196610</vt:i4>
      </vt:variant>
      <vt:variant>
        <vt:i4>0</vt:i4>
      </vt:variant>
      <vt:variant>
        <vt:i4>0</vt:i4>
      </vt:variant>
      <vt:variant>
        <vt:i4>5</vt:i4>
      </vt:variant>
      <vt:variant>
        <vt:lpwstr>https://www.finance.gov.au/sites/default/files/2021-07/Flipchart 16 July 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2026-02-12T03:58:00Z</dcterms:created>
  <dcterms:modified xsi:type="dcterms:W3CDTF">2026-02-12T04:13:00Z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5fa4d49d,496ded0e,602249b9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61c96f29,eb80c3d,6497c4ed</vt:lpwstr>
  </property>
  <property fmtid="{D5CDD505-2E9C-101B-9397-08002B2CF9AE}" pid="6" name="ClassificationContentMarkingFooterFontProps">
    <vt:lpwstr>#ff0000,12,Aptos</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2026-02-12T03:58:26Z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e3f62c5b-3485-4cd1-93d1-a354d29605d1</vt:lpwstr>
  </property>
  <property fmtid="{D5CDD505-2E9C-101B-9397-08002B2CF9AE}" pid="14" name="MSIP_Label_4ba86659-d6e4-4b6d-88ae-202639b32f10_ContentBits">
    <vt:lpwstr>3</vt:lpwstr>
  </property>
  <property fmtid="{D5CDD505-2E9C-101B-9397-08002B2CF9AE}" pid="15" name="MSIP_Label_4ba86659-d6e4-4b6d-88ae-202639b32f10_Tag">
    <vt:lpwstr>10, 0, 1, 1</vt:lpwstr>
  </property>
</Properties>
</file>