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BA852" w14:textId="59F23A1A" w:rsidR="00EA1520" w:rsidRPr="006E62D9" w:rsidRDefault="007C0CCF" w:rsidP="00BD69FA">
      <w:pPr>
        <w:spacing w:before="0" w:after="1320"/>
      </w:pPr>
      <w:bookmarkStart w:id="0" w:name="_Hlk221790699"/>
      <w:bookmarkEnd w:id="0"/>
      <w:r w:rsidRPr="006E62D9">
        <w:rPr>
          <w:noProof/>
        </w:rPr>
        <w:drawing>
          <wp:anchor distT="0" distB="0" distL="114300" distR="114300" simplePos="0" relativeHeight="251658240" behindDoc="1" locked="0" layoutInCell="1" allowOverlap="1" wp14:anchorId="35448961" wp14:editId="7DC9B41E">
            <wp:simplePos x="0" y="0"/>
            <wp:positionH relativeFrom="margin">
              <wp:posOffset>-1115695</wp:posOffset>
            </wp:positionH>
            <wp:positionV relativeFrom="margin">
              <wp:posOffset>-832581</wp:posOffset>
            </wp:positionV>
            <wp:extent cx="7959090" cy="11105515"/>
            <wp:effectExtent l="0" t="0" r="3810" b="635"/>
            <wp:wrapNone/>
            <wp:docPr id="6788015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801591" name="Picture 1">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59090" cy="11105515"/>
                    </a:xfrm>
                    <a:prstGeom prst="rect">
                      <a:avLst/>
                    </a:prstGeom>
                  </pic:spPr>
                </pic:pic>
              </a:graphicData>
            </a:graphic>
            <wp14:sizeRelH relativeFrom="page">
              <wp14:pctWidth>0</wp14:pctWidth>
            </wp14:sizeRelH>
            <wp14:sizeRelV relativeFrom="page">
              <wp14:pctHeight>0</wp14:pctHeight>
            </wp14:sizeRelV>
          </wp:anchor>
        </w:drawing>
      </w:r>
      <w:r w:rsidR="00EE34E2" w:rsidRPr="006E62D9">
        <w:rPr>
          <w:noProof/>
        </w:rPr>
        <w:drawing>
          <wp:inline distT="0" distB="0" distL="0" distR="0" wp14:anchorId="2FB7705B" wp14:editId="74A87627">
            <wp:extent cx="3642180" cy="684000"/>
            <wp:effectExtent l="0" t="0" r="0" b="1905"/>
            <wp:docPr id="11" name="Picture 11" descr="National Anti-Corruptio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National Anti-Corruption Commission."/>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42180" cy="684000"/>
                    </a:xfrm>
                    <a:prstGeom prst="rect">
                      <a:avLst/>
                    </a:prstGeom>
                  </pic:spPr>
                </pic:pic>
              </a:graphicData>
            </a:graphic>
          </wp:inline>
        </w:drawing>
      </w:r>
    </w:p>
    <w:p w14:paraId="29701DA4" w14:textId="77777777" w:rsidR="003776AA" w:rsidRPr="006E62D9" w:rsidRDefault="005828F5" w:rsidP="00434A7D">
      <w:pPr>
        <w:pStyle w:val="Title"/>
        <w:rPr>
          <w:rFonts w:ascii="Work Sans SemiBold" w:hAnsi="Work Sans SemiBold"/>
          <w:szCs w:val="48"/>
        </w:rPr>
      </w:pPr>
      <w:bookmarkStart w:id="1" w:name="_Toc164326767"/>
      <w:bookmarkStart w:id="2" w:name="_Toc168474295"/>
      <w:bookmarkStart w:id="3" w:name="_Toc173764644"/>
      <w:bookmarkStart w:id="4" w:name="_Toc173764767"/>
      <w:bookmarkStart w:id="5" w:name="_Toc175731398"/>
      <w:bookmarkStart w:id="6" w:name="_Toc175731461"/>
      <w:bookmarkStart w:id="7" w:name="_Toc207008214"/>
      <w:bookmarkStart w:id="8" w:name="_Toc221793661"/>
      <w:bookmarkStart w:id="9" w:name="_Toc221793681"/>
      <w:r w:rsidRPr="006E62D9">
        <w:rPr>
          <w:rFonts w:ascii="Work Sans SemiBold" w:hAnsi="Work Sans SemiBold"/>
          <w:szCs w:val="48"/>
        </w:rPr>
        <w:t>Corporate Plan</w:t>
      </w:r>
      <w:bookmarkEnd w:id="1"/>
      <w:bookmarkEnd w:id="2"/>
    </w:p>
    <w:p w14:paraId="48C7EA80" w14:textId="4EB79B91" w:rsidR="00E67444" w:rsidRPr="006E62D9" w:rsidRDefault="00F30B00" w:rsidP="00434A7D">
      <w:pPr>
        <w:pStyle w:val="Title"/>
        <w:rPr>
          <w:rFonts w:asciiTheme="majorHAnsi" w:hAnsiTheme="majorHAnsi"/>
        </w:rPr>
      </w:pPr>
      <w:r w:rsidRPr="006E62D9">
        <w:rPr>
          <w:rFonts w:asciiTheme="majorHAnsi" w:hAnsiTheme="majorHAnsi"/>
          <w:szCs w:val="48"/>
        </w:rPr>
        <w:t>202</w:t>
      </w:r>
      <w:bookmarkEnd w:id="3"/>
      <w:bookmarkEnd w:id="4"/>
      <w:r w:rsidR="000833D0" w:rsidRPr="006E62D9">
        <w:rPr>
          <w:rFonts w:asciiTheme="majorHAnsi" w:hAnsiTheme="majorHAnsi"/>
          <w:szCs w:val="48"/>
        </w:rPr>
        <w:t>6</w:t>
      </w:r>
      <w:r w:rsidR="00C3564B" w:rsidRPr="006E62D9">
        <w:rPr>
          <w:rFonts w:asciiTheme="majorHAnsi" w:hAnsiTheme="majorHAnsi"/>
          <w:szCs w:val="48"/>
        </w:rPr>
        <w:t>–</w:t>
      </w:r>
      <w:r w:rsidR="000833D0" w:rsidRPr="006E62D9">
        <w:rPr>
          <w:rFonts w:asciiTheme="majorHAnsi" w:hAnsiTheme="majorHAnsi"/>
          <w:szCs w:val="48"/>
        </w:rPr>
        <w:t>30</w:t>
      </w:r>
      <w:bookmarkEnd w:id="5"/>
      <w:bookmarkEnd w:id="6"/>
      <w:bookmarkEnd w:id="7"/>
      <w:bookmarkEnd w:id="8"/>
      <w:bookmarkEnd w:id="9"/>
    </w:p>
    <w:p w14:paraId="237BA120" w14:textId="4BCF24F6" w:rsidR="00F75BAF" w:rsidRPr="006E62D9" w:rsidRDefault="00F75BAF" w:rsidP="0073786F">
      <w:pPr>
        <w:spacing w:before="8640"/>
        <w:rPr>
          <w:rFonts w:ascii="Work Sans Light" w:hAnsi="Work Sans Light"/>
          <w:b/>
          <w:bCs/>
          <w:color w:val="E1E8F6" w:themeColor="background1"/>
          <w:sz w:val="28"/>
          <w:szCs w:val="28"/>
        </w:rPr>
        <w:sectPr w:rsidR="00F75BAF" w:rsidRPr="006E62D9" w:rsidSect="00952AF9">
          <w:headerReference w:type="even" r:id="rId10"/>
          <w:footerReference w:type="even" r:id="rId11"/>
          <w:footerReference w:type="default" r:id="rId12"/>
          <w:footerReference w:type="first" r:id="rId13"/>
          <w:endnotePr>
            <w:numFmt w:val="decimal"/>
          </w:endnotePr>
          <w:pgSz w:w="11906" w:h="16838" w:code="9"/>
          <w:pgMar w:top="1134" w:right="1440" w:bottom="340" w:left="1440" w:header="709" w:footer="284" w:gutter="0"/>
          <w:cols w:space="708"/>
          <w:titlePg/>
          <w:docGrid w:linePitch="360"/>
        </w:sectPr>
      </w:pPr>
      <w:bookmarkStart w:id="10" w:name="_Hlk146207730"/>
      <w:r w:rsidRPr="006E62D9">
        <w:rPr>
          <w:rFonts w:ascii="Work Sans SemiBold" w:hAnsi="Work Sans SemiBold"/>
          <w:color w:val="FFFFFF" w:themeColor="accent5"/>
          <w:sz w:val="28"/>
          <w:szCs w:val="28"/>
        </w:rPr>
        <w:t>nacc</w:t>
      </w:r>
      <w:r w:rsidRPr="006E62D9">
        <w:rPr>
          <w:rFonts w:ascii="Work Sans Light" w:hAnsi="Work Sans Light"/>
          <w:color w:val="FFFFFF" w:themeColor="accent5"/>
          <w:sz w:val="28"/>
          <w:szCs w:val="28"/>
        </w:rPr>
        <w:t>.gov.au</w:t>
      </w:r>
    </w:p>
    <w:p w14:paraId="1D6F7AAC" w14:textId="1D4D32F5" w:rsidR="001A67E8" w:rsidRPr="006E62D9" w:rsidRDefault="001A67E8" w:rsidP="00F249C5">
      <w:pPr>
        <w:pStyle w:val="Imprintpage"/>
        <w:rPr>
          <w:b/>
          <w:bCs/>
        </w:rPr>
      </w:pPr>
      <w:bookmarkStart w:id="11" w:name="_Toc168474297"/>
      <w:bookmarkStart w:id="12" w:name="_Toc173764646"/>
      <w:bookmarkStart w:id="13" w:name="_Toc173764769"/>
      <w:bookmarkStart w:id="14" w:name="_Toc175731400"/>
      <w:bookmarkStart w:id="15" w:name="_Toc175731463"/>
      <w:r w:rsidRPr="006E62D9">
        <w:rPr>
          <w:b/>
          <w:bCs/>
        </w:rPr>
        <w:lastRenderedPageBreak/>
        <w:t>Further information</w:t>
      </w:r>
      <w:bookmarkEnd w:id="11"/>
      <w:bookmarkEnd w:id="12"/>
      <w:bookmarkEnd w:id="13"/>
      <w:bookmarkEnd w:id="14"/>
      <w:bookmarkEnd w:id="15"/>
    </w:p>
    <w:p w14:paraId="04E69ACC" w14:textId="22D15AD2" w:rsidR="001A67E8" w:rsidRPr="006E62D9" w:rsidRDefault="001A67E8" w:rsidP="00F249C5">
      <w:pPr>
        <w:pStyle w:val="Imprintpage"/>
      </w:pPr>
      <w:r w:rsidRPr="006E62D9">
        <w:t>Enquiries about this report should be directed</w:t>
      </w:r>
      <w:r w:rsidR="008745B1" w:rsidRPr="006E62D9">
        <w:t xml:space="preserve"> </w:t>
      </w:r>
      <w:r w:rsidRPr="006E62D9">
        <w:t>to the National Anti-Corruption Commission.</w:t>
      </w:r>
    </w:p>
    <w:p w14:paraId="1DCD2DFF" w14:textId="77777777" w:rsidR="001A67E8" w:rsidRPr="006E62D9" w:rsidRDefault="001A67E8" w:rsidP="00F249C5">
      <w:pPr>
        <w:pStyle w:val="Imprintpage"/>
        <w:contextualSpacing/>
      </w:pPr>
      <w:r w:rsidRPr="006E62D9">
        <w:t>Phone: 1300 489 844</w:t>
      </w:r>
    </w:p>
    <w:p w14:paraId="636A57B7" w14:textId="7CB74823" w:rsidR="001A67E8" w:rsidRPr="006E62D9" w:rsidRDefault="001A67E8" w:rsidP="00F249C5">
      <w:pPr>
        <w:pStyle w:val="Imprintpage"/>
        <w:contextualSpacing/>
      </w:pPr>
      <w:r w:rsidRPr="006E62D9">
        <w:t xml:space="preserve">Website: </w:t>
      </w:r>
      <w:hyperlink r:id="rId14" w:history="1">
        <w:r w:rsidRPr="006E62D9">
          <w:rPr>
            <w:rStyle w:val="Hyperlink"/>
          </w:rPr>
          <w:t>nacc.gov.au</w:t>
        </w:r>
      </w:hyperlink>
    </w:p>
    <w:p w14:paraId="33D0F394" w14:textId="3DA53B29" w:rsidR="001A67E8" w:rsidRPr="006E62D9" w:rsidRDefault="001A67E8" w:rsidP="00F249C5">
      <w:pPr>
        <w:pStyle w:val="Imprintpage"/>
        <w:contextualSpacing/>
      </w:pPr>
      <w:r w:rsidRPr="006E62D9">
        <w:t>Post: GPO Box 605, Canberra ACT 2601</w:t>
      </w:r>
    </w:p>
    <w:p w14:paraId="30B9D433" w14:textId="3D4CF8F5" w:rsidR="00BF346B" w:rsidRPr="006E62D9" w:rsidRDefault="00BF346B" w:rsidP="00F249C5">
      <w:pPr>
        <w:pStyle w:val="Imprintpage"/>
      </w:pPr>
      <w:r w:rsidRPr="006E62D9">
        <w:t>Address: 5 Constitution Avenue, Canberra ACT 2601</w:t>
      </w:r>
    </w:p>
    <w:p w14:paraId="29756956" w14:textId="53D0C37A" w:rsidR="001A67E8" w:rsidRPr="006E62D9" w:rsidRDefault="001A67E8" w:rsidP="00F249C5">
      <w:pPr>
        <w:pStyle w:val="Imprintpage"/>
        <w:rPr>
          <w:b/>
          <w:bCs/>
        </w:rPr>
      </w:pPr>
      <w:bookmarkStart w:id="16" w:name="_Toc168474298"/>
      <w:bookmarkStart w:id="17" w:name="_Toc173764647"/>
      <w:bookmarkStart w:id="18" w:name="_Toc173764770"/>
      <w:bookmarkStart w:id="19" w:name="_Toc175731401"/>
      <w:bookmarkStart w:id="20" w:name="_Toc175731464"/>
      <w:r w:rsidRPr="006E62D9">
        <w:rPr>
          <w:b/>
          <w:bCs/>
        </w:rPr>
        <w:t>Copyright</w:t>
      </w:r>
      <w:bookmarkEnd w:id="16"/>
      <w:bookmarkEnd w:id="17"/>
      <w:bookmarkEnd w:id="18"/>
      <w:bookmarkEnd w:id="19"/>
      <w:bookmarkEnd w:id="20"/>
    </w:p>
    <w:p w14:paraId="27325E3E" w14:textId="77777777" w:rsidR="006C5DEF" w:rsidRPr="006E62D9" w:rsidRDefault="006C5DEF" w:rsidP="00F249C5">
      <w:pPr>
        <w:pStyle w:val="Imprintpage"/>
      </w:pPr>
      <w:r w:rsidRPr="006E62D9">
        <w:rPr>
          <w:noProof/>
        </w:rPr>
        <w:drawing>
          <wp:inline distT="0" distB="0" distL="0" distR="0" wp14:anchorId="3C01821B" wp14:editId="20E9160F">
            <wp:extent cx="1073150" cy="373115"/>
            <wp:effectExtent l="0" t="0" r="0" b="8255"/>
            <wp:docPr id="2" name="Picture 2" descr="The icon for CC BY license: credit must be given to the cre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icon for CC BY license: credit must be given to the creato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82953" cy="376523"/>
                    </a:xfrm>
                    <a:prstGeom prst="rect">
                      <a:avLst/>
                    </a:prstGeom>
                    <a:noFill/>
                    <a:ln>
                      <a:noFill/>
                    </a:ln>
                  </pic:spPr>
                </pic:pic>
              </a:graphicData>
            </a:graphic>
          </wp:inline>
        </w:drawing>
      </w:r>
    </w:p>
    <w:p w14:paraId="244FBF2B" w14:textId="124A0B00" w:rsidR="00BF346B" w:rsidRPr="006E62D9" w:rsidRDefault="00BF346B" w:rsidP="00F249C5">
      <w:pPr>
        <w:pStyle w:val="Imprintpage"/>
      </w:pPr>
      <w:r w:rsidRPr="006E62D9">
        <w:t>©</w:t>
      </w:r>
      <w:r w:rsidRPr="006E62D9">
        <w:t> </w:t>
      </w:r>
      <w:r w:rsidRPr="006E62D9">
        <w:t>Commonwealth of Australia 202</w:t>
      </w:r>
      <w:r w:rsidR="0079288F" w:rsidRPr="006E62D9">
        <w:t>6</w:t>
      </w:r>
    </w:p>
    <w:p w14:paraId="0E9E743D" w14:textId="5495FB49" w:rsidR="001A67E8" w:rsidRPr="006E62D9" w:rsidRDefault="001A67E8" w:rsidP="00F249C5">
      <w:pPr>
        <w:pStyle w:val="Imprintpage"/>
      </w:pPr>
      <w:r w:rsidRPr="006E62D9">
        <w:t>The material in this report is licensed under a Creative Commons</w:t>
      </w:r>
      <w:r w:rsidR="008745B1" w:rsidRPr="006E62D9">
        <w:t xml:space="preserve"> </w:t>
      </w:r>
      <w:r w:rsidRPr="006E62D9">
        <w:t xml:space="preserve">Attribution — 4.0 international license, </w:t>
      </w:r>
      <w:proofErr w:type="gramStart"/>
      <w:r w:rsidRPr="006E62D9">
        <w:t>with the exception of</w:t>
      </w:r>
      <w:proofErr w:type="gramEnd"/>
      <w:r w:rsidRPr="006E62D9">
        <w:t>:</w:t>
      </w:r>
    </w:p>
    <w:p w14:paraId="6FDE03BA" w14:textId="4E8319C0" w:rsidR="001A67E8" w:rsidRPr="006E62D9" w:rsidRDefault="001A67E8" w:rsidP="002B00A1">
      <w:pPr>
        <w:pStyle w:val="Imprintpage"/>
        <w:numPr>
          <w:ilvl w:val="0"/>
          <w:numId w:val="14"/>
        </w:numPr>
        <w:ind w:left="714" w:hanging="357"/>
        <w:contextualSpacing/>
      </w:pPr>
      <w:r w:rsidRPr="006E62D9">
        <w:t>the Commonwealth Coat of Arms</w:t>
      </w:r>
    </w:p>
    <w:p w14:paraId="3341DFEC" w14:textId="15B4A74E" w:rsidR="001A67E8" w:rsidRPr="006E62D9" w:rsidRDefault="001A67E8" w:rsidP="002B00A1">
      <w:pPr>
        <w:pStyle w:val="Imprintpage"/>
        <w:numPr>
          <w:ilvl w:val="0"/>
          <w:numId w:val="14"/>
        </w:numPr>
        <w:ind w:left="714" w:hanging="357"/>
        <w:contextualSpacing/>
      </w:pPr>
      <w:r w:rsidRPr="006E62D9">
        <w:t>the National Anti-Corruption Commission logo</w:t>
      </w:r>
    </w:p>
    <w:p w14:paraId="01382333" w14:textId="1C737DFA" w:rsidR="001A67E8" w:rsidRPr="006E62D9" w:rsidRDefault="001A67E8" w:rsidP="002B00A1">
      <w:pPr>
        <w:pStyle w:val="Imprintpage"/>
        <w:numPr>
          <w:ilvl w:val="0"/>
          <w:numId w:val="14"/>
        </w:numPr>
        <w:ind w:left="714" w:hanging="357"/>
        <w:contextualSpacing/>
      </w:pPr>
      <w:r w:rsidRPr="006E62D9">
        <w:t>any third-party material</w:t>
      </w:r>
    </w:p>
    <w:p w14:paraId="61AB136C" w14:textId="60684D8A" w:rsidR="001A67E8" w:rsidRPr="006E62D9" w:rsidRDefault="001A67E8" w:rsidP="002B00A1">
      <w:pPr>
        <w:pStyle w:val="Imprintpage"/>
        <w:numPr>
          <w:ilvl w:val="0"/>
          <w:numId w:val="14"/>
        </w:numPr>
        <w:ind w:left="714" w:hanging="357"/>
        <w:contextualSpacing/>
      </w:pPr>
      <w:r w:rsidRPr="006E62D9">
        <w:t>any material protected by a trademark</w:t>
      </w:r>
    </w:p>
    <w:p w14:paraId="703084AB" w14:textId="77777777" w:rsidR="0047526B" w:rsidRPr="006E62D9" w:rsidRDefault="001A67E8" w:rsidP="002B00A1">
      <w:pPr>
        <w:pStyle w:val="Imprintpage"/>
        <w:numPr>
          <w:ilvl w:val="0"/>
          <w:numId w:val="14"/>
        </w:numPr>
      </w:pPr>
      <w:r w:rsidRPr="006E62D9">
        <w:t>any images and/or photographs.</w:t>
      </w:r>
    </w:p>
    <w:p w14:paraId="3731BF78" w14:textId="77777777" w:rsidR="00F575CC" w:rsidRDefault="001A67E8" w:rsidP="00F249C5">
      <w:pPr>
        <w:pStyle w:val="Imprintpage"/>
      </w:pPr>
      <w:r w:rsidRPr="006E62D9">
        <w:t>More information on this CC BY license is set out as follows:</w:t>
      </w:r>
    </w:p>
    <w:p w14:paraId="17CEC181" w14:textId="1166FE2D" w:rsidR="001A67E8" w:rsidRPr="006E62D9" w:rsidRDefault="001A67E8" w:rsidP="002B00A1">
      <w:pPr>
        <w:pStyle w:val="Imprintpage"/>
        <w:numPr>
          <w:ilvl w:val="0"/>
          <w:numId w:val="15"/>
        </w:numPr>
        <w:ind w:left="714" w:hanging="357"/>
        <w:contextualSpacing/>
        <w:rPr>
          <w:rStyle w:val="Hyperlink"/>
        </w:rPr>
      </w:pPr>
      <w:hyperlink r:id="rId16" w:history="1">
        <w:r w:rsidRPr="006E62D9">
          <w:rPr>
            <w:rStyle w:val="Hyperlink"/>
          </w:rPr>
          <w:t>Creative Commons website</w:t>
        </w:r>
      </w:hyperlink>
    </w:p>
    <w:p w14:paraId="3E715EDA" w14:textId="0A192644" w:rsidR="003E7561" w:rsidRPr="006E62D9" w:rsidRDefault="001A67E8" w:rsidP="002B00A1">
      <w:pPr>
        <w:pStyle w:val="Imprintpage"/>
        <w:numPr>
          <w:ilvl w:val="0"/>
          <w:numId w:val="15"/>
        </w:numPr>
      </w:pPr>
      <w:hyperlink r:id="rId17" w:history="1">
        <w:r w:rsidRPr="006E62D9">
          <w:rPr>
            <w:rStyle w:val="Hyperlink"/>
          </w:rPr>
          <w:t>Attribution 4.0 international (CC by 4.0)</w:t>
        </w:r>
      </w:hyperlink>
      <w:r w:rsidR="00A5339F" w:rsidRPr="006E62D9">
        <w:t>.</w:t>
      </w:r>
    </w:p>
    <w:p w14:paraId="6BC1B648" w14:textId="48E2B901" w:rsidR="001A67E8" w:rsidRPr="006E62D9" w:rsidRDefault="001A67E8" w:rsidP="00F249C5">
      <w:pPr>
        <w:pStyle w:val="Imprintpage"/>
        <w:rPr>
          <w:b/>
          <w:bCs/>
        </w:rPr>
      </w:pPr>
      <w:bookmarkStart w:id="21" w:name="_Toc168474299"/>
      <w:bookmarkStart w:id="22" w:name="_Toc173764648"/>
      <w:bookmarkStart w:id="23" w:name="_Toc173764771"/>
      <w:bookmarkStart w:id="24" w:name="_Toc175731402"/>
      <w:bookmarkStart w:id="25" w:name="_Toc175731465"/>
      <w:r w:rsidRPr="006E62D9">
        <w:rPr>
          <w:b/>
          <w:bCs/>
        </w:rPr>
        <w:t>Attribution</w:t>
      </w:r>
      <w:bookmarkEnd w:id="21"/>
      <w:bookmarkEnd w:id="22"/>
      <w:bookmarkEnd w:id="23"/>
      <w:bookmarkEnd w:id="24"/>
      <w:bookmarkEnd w:id="25"/>
    </w:p>
    <w:p w14:paraId="1E9B4662" w14:textId="65F7F447" w:rsidR="00DA6AD5" w:rsidRPr="006E62D9" w:rsidRDefault="001A67E8" w:rsidP="00F249C5">
      <w:pPr>
        <w:pStyle w:val="Imprintpage"/>
      </w:pPr>
      <w:r w:rsidRPr="006E62D9">
        <w:t>The CC BY licence is a standard form licence agreement that allows you to copy and redistribute the material in any medium or format, as well as remix, transform and build upon the material.</w:t>
      </w:r>
    </w:p>
    <w:p w14:paraId="017AD3E8" w14:textId="387B08E3" w:rsidR="001A67E8" w:rsidRPr="006E62D9" w:rsidRDefault="001A67E8" w:rsidP="00F249C5">
      <w:pPr>
        <w:pStyle w:val="Imprintpage"/>
      </w:pPr>
      <w:r w:rsidRPr="006E62D9">
        <w:t>This is on the condition that you provide a link to the licence, you indicate if changes were made and you attribute the material as follows:</w:t>
      </w:r>
    </w:p>
    <w:p w14:paraId="6279F881" w14:textId="4BB187BA" w:rsidR="0047526B" w:rsidRPr="006E62D9" w:rsidRDefault="0047526B" w:rsidP="00F249C5">
      <w:pPr>
        <w:pStyle w:val="Imprintpage"/>
        <w:rPr>
          <w:i/>
          <w:iCs/>
        </w:rPr>
      </w:pPr>
      <w:r w:rsidRPr="006E62D9">
        <w:rPr>
          <w:i/>
          <w:iCs/>
        </w:rPr>
        <w:t>National Anti-Corruption Commission</w:t>
      </w:r>
      <w:r w:rsidRPr="006E62D9">
        <w:rPr>
          <w:i/>
          <w:iCs/>
        </w:rPr>
        <w:br/>
      </w:r>
      <w:r w:rsidR="00CF163D" w:rsidRPr="006E62D9">
        <w:rPr>
          <w:i/>
          <w:iCs/>
        </w:rPr>
        <w:t>Corporate Plan 202</w:t>
      </w:r>
      <w:r w:rsidR="000833D0" w:rsidRPr="006E62D9">
        <w:rPr>
          <w:i/>
          <w:iCs/>
        </w:rPr>
        <w:t>6</w:t>
      </w:r>
      <w:r w:rsidR="00CF163D" w:rsidRPr="006E62D9">
        <w:rPr>
          <w:i/>
          <w:iCs/>
        </w:rPr>
        <w:t>–</w:t>
      </w:r>
      <w:r w:rsidR="000833D0" w:rsidRPr="006E62D9">
        <w:rPr>
          <w:i/>
          <w:iCs/>
        </w:rPr>
        <w:t>30</w:t>
      </w:r>
    </w:p>
    <w:p w14:paraId="4C73BCB3" w14:textId="11C60898" w:rsidR="001A67E8" w:rsidRPr="006E62D9" w:rsidRDefault="001A67E8" w:rsidP="00F249C5">
      <w:pPr>
        <w:pStyle w:val="Imprintpage"/>
      </w:pPr>
      <w:r w:rsidRPr="006E62D9">
        <w:t>Licensed from the Commonwealth of Australia under a Creative Commons Attribution 4.0 International licence.</w:t>
      </w:r>
    </w:p>
    <w:p w14:paraId="05F220B7" w14:textId="59E93729" w:rsidR="008A6E81" w:rsidRPr="006E62D9" w:rsidRDefault="76F66626" w:rsidP="00F249C5">
      <w:pPr>
        <w:pStyle w:val="Imprintpage"/>
      </w:pPr>
      <w:r>
        <w:t xml:space="preserve">ISSN: </w:t>
      </w:r>
      <w:r w:rsidR="6175C0B5">
        <w:t>2982-</w:t>
      </w:r>
      <w:r w:rsidR="00FB5206">
        <w:t>1282</w:t>
      </w:r>
      <w:r w:rsidR="6175C0B5">
        <w:t xml:space="preserve"> (Online)</w:t>
      </w:r>
      <w:r w:rsidR="008A6E81">
        <w:br/>
      </w:r>
      <w:r>
        <w:t xml:space="preserve">ISSN: </w:t>
      </w:r>
      <w:r w:rsidR="116CC094">
        <w:t>2982-</w:t>
      </w:r>
      <w:r w:rsidR="00FB5206">
        <w:t xml:space="preserve">1274 </w:t>
      </w:r>
      <w:r w:rsidR="116CC094">
        <w:t>(Print)</w:t>
      </w:r>
    </w:p>
    <w:p w14:paraId="1973C6B1" w14:textId="29A84B25" w:rsidR="001A67E8" w:rsidRPr="006E62D9" w:rsidRDefault="001A67E8" w:rsidP="00F249C5">
      <w:pPr>
        <w:pStyle w:val="Imprintpage"/>
        <w:rPr>
          <w:b/>
          <w:bCs/>
        </w:rPr>
      </w:pPr>
      <w:bookmarkStart w:id="26" w:name="_Toc168474300"/>
      <w:bookmarkStart w:id="27" w:name="_Toc173764649"/>
      <w:bookmarkStart w:id="28" w:name="_Toc173764772"/>
      <w:bookmarkStart w:id="29" w:name="_Toc175731403"/>
      <w:bookmarkStart w:id="30" w:name="_Toc175731466"/>
      <w:r w:rsidRPr="006E62D9">
        <w:rPr>
          <w:b/>
          <w:bCs/>
        </w:rPr>
        <w:t>Using the Commonwealth Coat of Arms</w:t>
      </w:r>
      <w:bookmarkEnd w:id="26"/>
      <w:bookmarkEnd w:id="27"/>
      <w:bookmarkEnd w:id="28"/>
      <w:bookmarkEnd w:id="29"/>
      <w:bookmarkEnd w:id="30"/>
    </w:p>
    <w:p w14:paraId="5604D51A" w14:textId="28CA2BC2" w:rsidR="001243F5" w:rsidRPr="006E62D9" w:rsidRDefault="001A67E8" w:rsidP="00F575CC">
      <w:pPr>
        <w:pStyle w:val="Imprintpage"/>
      </w:pPr>
      <w:r w:rsidRPr="006E62D9">
        <w:t xml:space="preserve">Guidelines for using the Commonwealth Coat of Arms are available from </w:t>
      </w:r>
      <w:r w:rsidRPr="006E62D9">
        <w:rPr>
          <w:rStyle w:val="Hyperlink"/>
        </w:rPr>
        <w:t xml:space="preserve">the </w:t>
      </w:r>
      <w:hyperlink r:id="rId18" w:history="1">
        <w:r w:rsidR="001E74A1" w:rsidRPr="006E62D9">
          <w:rPr>
            <w:rStyle w:val="Hyperlink"/>
          </w:rPr>
          <w:t>Department of the Prime Minister and Cabinet website</w:t>
        </w:r>
      </w:hyperlink>
      <w:r w:rsidRPr="006E62D9">
        <w:t>.</w:t>
      </w:r>
      <w:r w:rsidR="00A17989" w:rsidRPr="006E62D9">
        <w:br w:type="page"/>
      </w:r>
    </w:p>
    <w:p w14:paraId="149A1589" w14:textId="7625CE8C" w:rsidR="002701F9" w:rsidRPr="00227DC6" w:rsidRDefault="002701F9" w:rsidP="002D115C">
      <w:pPr>
        <w:jc w:val="center"/>
        <w:rPr>
          <w:rFonts w:ascii="Work Sans SemiBold" w:hAnsi="Work Sans SemiBold"/>
        </w:rPr>
      </w:pPr>
      <w:r w:rsidRPr="006E62D9">
        <w:rPr>
          <w:noProof/>
        </w:rPr>
        <w:lastRenderedPageBreak/>
        <w:drawing>
          <wp:inline distT="0" distB="0" distL="0" distR="0" wp14:anchorId="2371C500" wp14:editId="2FC546F3">
            <wp:extent cx="5406887" cy="5406887"/>
            <wp:effectExtent l="0" t="0" r="3810" b="3810"/>
            <wp:docPr id="2137392819" name="Picture 2" descr="The artwork 'Integrity at Our 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392819" name="Picture 2" descr="The artwork 'Integrity at Our Hear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49065" cy="5449065"/>
                    </a:xfrm>
                    <a:prstGeom prst="rect">
                      <a:avLst/>
                    </a:prstGeom>
                  </pic:spPr>
                </pic:pic>
              </a:graphicData>
            </a:graphic>
          </wp:inline>
        </w:drawing>
      </w:r>
    </w:p>
    <w:p w14:paraId="135B617A" w14:textId="77777777" w:rsidR="00F575CC" w:rsidRPr="00227DC6" w:rsidRDefault="00F575CC" w:rsidP="00F575CC">
      <w:pPr>
        <w:rPr>
          <w:rFonts w:ascii="Work Sans SemiBold" w:hAnsi="Work Sans SemiBold"/>
        </w:rPr>
      </w:pPr>
      <w:r w:rsidRPr="00227DC6">
        <w:rPr>
          <w:rFonts w:ascii="Work Sans SemiBold" w:hAnsi="Work Sans SemiBold"/>
        </w:rPr>
        <w:t>Acknowledgement of Country</w:t>
      </w:r>
    </w:p>
    <w:p w14:paraId="657CB0DB" w14:textId="0053D953" w:rsidR="00227DC6" w:rsidRDefault="00F575CC" w:rsidP="00227DC6">
      <w:r>
        <w:t>In the spirit of reconciliation, the National Anti‑Corruption Commission (Commission) acknowledges the Traditional Custodians of Country throughout Australia and their connections to land, sea and community. We pay our respect to their Elders past and present and extend that respect to all Aboriginal and Torres Strait Islander peoples today.</w:t>
      </w:r>
      <w:r w:rsidR="00227DC6">
        <w:br w:type="page"/>
      </w:r>
    </w:p>
    <w:p w14:paraId="4CECE201" w14:textId="2EB80AA2" w:rsidR="002701F9" w:rsidRPr="00227DC6" w:rsidRDefault="22AFA54E" w:rsidP="00F575CC">
      <w:pPr>
        <w:rPr>
          <w:rFonts w:ascii="Work Sans SemiBold" w:hAnsi="Work Sans SemiBold"/>
        </w:rPr>
      </w:pPr>
      <w:r w:rsidRPr="00227DC6">
        <w:rPr>
          <w:rFonts w:ascii="Work Sans SemiBold" w:hAnsi="Work Sans SemiBold"/>
        </w:rPr>
        <w:lastRenderedPageBreak/>
        <w:t>Integrity at Our Heart</w:t>
      </w:r>
    </w:p>
    <w:p w14:paraId="0A7DB441" w14:textId="7C335B9C" w:rsidR="004530F6" w:rsidRPr="006E62D9" w:rsidRDefault="004530F6" w:rsidP="00227DC6">
      <w:r w:rsidRPr="006E62D9">
        <w:t>This artwork</w:t>
      </w:r>
      <w:r w:rsidR="00F62E35" w:rsidRPr="006E62D9">
        <w:t xml:space="preserve">, </w:t>
      </w:r>
      <w:r w:rsidR="00F62E35" w:rsidRPr="006E62D9">
        <w:rPr>
          <w:i/>
          <w:iCs/>
        </w:rPr>
        <w:t>Integrity at Our Heart</w:t>
      </w:r>
      <w:r w:rsidR="00F62E35" w:rsidRPr="006E62D9">
        <w:t>,</w:t>
      </w:r>
      <w:r w:rsidRPr="006E62D9">
        <w:t xml:space="preserve"> tells the story of the Commission’s mission to enhance integrity within the Commonwealth</w:t>
      </w:r>
      <w:r w:rsidR="00AB7525" w:rsidRPr="006E62D9">
        <w:t xml:space="preserve"> </w:t>
      </w:r>
      <w:r w:rsidRPr="006E62D9">
        <w:t>public sector.</w:t>
      </w:r>
    </w:p>
    <w:p w14:paraId="1378C701" w14:textId="3E48238E" w:rsidR="004530F6" w:rsidRPr="006E62D9" w:rsidRDefault="004530F6" w:rsidP="00227DC6">
      <w:r w:rsidRPr="006E62D9">
        <w:t>It is made up of many multicoloured strokes, depicting our team’s many weaving histories. At</w:t>
      </w:r>
      <w:r w:rsidR="00AB7525" w:rsidRPr="006E62D9">
        <w:t xml:space="preserve"> </w:t>
      </w:r>
      <w:r w:rsidRPr="006E62D9">
        <w:t xml:space="preserve">the core of the artwork are </w:t>
      </w:r>
      <w:r w:rsidR="005E39E3" w:rsidRPr="006E62D9">
        <w:t xml:space="preserve">3 </w:t>
      </w:r>
      <w:r w:rsidRPr="006E62D9">
        <w:t>white patterned rings, representing detecting, deterring and preventing corruption. Our approach is fearless but fair and we work towards our goals with integrity, determination and courage. We are on a journey to build a culture of unity, inclusion</w:t>
      </w:r>
      <w:r w:rsidR="00AB7525" w:rsidRPr="006E62D9">
        <w:t xml:space="preserve"> </w:t>
      </w:r>
      <w:r w:rsidRPr="006E62D9">
        <w:t>and trust as we grow.</w:t>
      </w:r>
    </w:p>
    <w:p w14:paraId="1B773D58" w14:textId="56983AE9" w:rsidR="004530F6" w:rsidRPr="006E62D9" w:rsidRDefault="004530F6" w:rsidP="00227DC6">
      <w:r w:rsidRPr="006E62D9">
        <w:t>Our people working together are represented by white dots between each of the lines. At the heart of the artwork is the central element, encapsulating our commitment to contributing to reconciliation as we work to create a culturally safe environment where First Nations staff and partners feel</w:t>
      </w:r>
      <w:r w:rsidR="00AB7525" w:rsidRPr="006E62D9">
        <w:t xml:space="preserve"> </w:t>
      </w:r>
      <w:r w:rsidRPr="006E62D9">
        <w:t>respected and included.</w:t>
      </w:r>
    </w:p>
    <w:p w14:paraId="4400DCCF" w14:textId="7536E076" w:rsidR="00016CA7" w:rsidRPr="006E62D9" w:rsidRDefault="004530F6" w:rsidP="00227DC6">
      <w:r w:rsidRPr="006E62D9">
        <w:t>The artwork concept and narrative were developed by Navada Currie. Navada is a Mununjali</w:t>
      </w:r>
      <w:r w:rsidR="00AB7525" w:rsidRPr="006E62D9">
        <w:t xml:space="preserve"> </w:t>
      </w:r>
      <w:r w:rsidRPr="006E62D9">
        <w:t>and Kabi</w:t>
      </w:r>
      <w:r w:rsidR="00AB7525" w:rsidRPr="006E62D9">
        <w:t xml:space="preserve"> </w:t>
      </w:r>
      <w:proofErr w:type="spellStart"/>
      <w:r w:rsidRPr="006E62D9">
        <w:t>Kabi</w:t>
      </w:r>
      <w:proofErr w:type="spellEnd"/>
      <w:r w:rsidRPr="006E62D9">
        <w:t xml:space="preserve"> artist at Gilimbaa.</w:t>
      </w:r>
    </w:p>
    <w:sdt>
      <w:sdtPr>
        <w:rPr>
          <w:rFonts w:ascii="Work Sans" w:hAnsi="Work Sans" w:cstheme="minorBidi"/>
          <w:bCs w:val="0"/>
          <w:sz w:val="24"/>
          <w:szCs w:val="24"/>
          <w:lang w:val="en-AU"/>
        </w:rPr>
        <w:id w:val="707451251"/>
        <w:docPartObj>
          <w:docPartGallery w:val="Table of Contents"/>
          <w:docPartUnique/>
        </w:docPartObj>
      </w:sdtPr>
      <w:sdtEndPr/>
      <w:sdtContent>
        <w:p w14:paraId="6E2A5650" w14:textId="6AC4A5B0" w:rsidR="00016CA7" w:rsidRPr="00227DC6" w:rsidRDefault="00016CA7">
          <w:pPr>
            <w:pStyle w:val="TOCHeading"/>
            <w:rPr>
              <w:lang w:val="en-AU"/>
            </w:rPr>
          </w:pPr>
          <w:r w:rsidRPr="00227DC6">
            <w:rPr>
              <w:lang w:val="en-AU"/>
            </w:rPr>
            <w:t>Contents</w:t>
          </w:r>
        </w:p>
        <w:p w14:paraId="3E3DE45A" w14:textId="39417BDB" w:rsidR="00202921" w:rsidRDefault="00016CA7">
          <w:pPr>
            <w:pStyle w:val="TOC1"/>
            <w:rPr>
              <w:rFonts w:asciiTheme="minorHAnsi" w:eastAsiaTheme="minorEastAsia" w:hAnsiTheme="minorHAnsi" w:cstheme="minorBidi"/>
              <w:color w:val="auto"/>
              <w:kern w:val="2"/>
              <w:sz w:val="24"/>
              <w:szCs w:val="24"/>
              <w:lang w:eastAsia="en-AU"/>
              <w14:ligatures w14:val="standardContextual"/>
            </w:rPr>
          </w:pPr>
          <w:r w:rsidRPr="00227DC6">
            <w:fldChar w:fldCharType="begin"/>
          </w:r>
          <w:r w:rsidRPr="00227DC6">
            <w:instrText xml:space="preserve"> TOC \o "2-2" \h \z \t "Heading 1,1,Heading 1 Numbered,1" </w:instrText>
          </w:r>
          <w:r w:rsidRPr="00227DC6">
            <w:fldChar w:fldCharType="separate"/>
          </w:r>
          <w:hyperlink w:anchor="_Toc236917898" w:history="1">
            <w:r w:rsidR="00202921" w:rsidRPr="002B3E82">
              <w:rPr>
                <w:rStyle w:val="Hyperlink"/>
              </w:rPr>
              <w:t>Commissioner’s foreword</w:t>
            </w:r>
            <w:r w:rsidR="00202921">
              <w:rPr>
                <w:webHidden/>
              </w:rPr>
              <w:tab/>
            </w:r>
            <w:r w:rsidR="00202921">
              <w:rPr>
                <w:webHidden/>
              </w:rPr>
              <w:fldChar w:fldCharType="begin"/>
            </w:r>
            <w:r w:rsidR="00202921">
              <w:rPr>
                <w:webHidden/>
              </w:rPr>
              <w:instrText xml:space="preserve"> PAGEREF _Toc236917898 \h </w:instrText>
            </w:r>
            <w:r w:rsidR="00202921">
              <w:rPr>
                <w:webHidden/>
              </w:rPr>
            </w:r>
            <w:r w:rsidR="00202921">
              <w:rPr>
                <w:webHidden/>
              </w:rPr>
              <w:fldChar w:fldCharType="separate"/>
            </w:r>
            <w:r w:rsidR="00202921">
              <w:rPr>
                <w:webHidden/>
              </w:rPr>
              <w:t>6</w:t>
            </w:r>
            <w:r w:rsidR="00202921">
              <w:rPr>
                <w:webHidden/>
              </w:rPr>
              <w:fldChar w:fldCharType="end"/>
            </w:r>
          </w:hyperlink>
        </w:p>
        <w:p w14:paraId="676E2F2E" w14:textId="5464A02E" w:rsidR="00202921" w:rsidRDefault="00202921">
          <w:pPr>
            <w:pStyle w:val="TOC1"/>
            <w:rPr>
              <w:rFonts w:asciiTheme="minorHAnsi" w:eastAsiaTheme="minorEastAsia" w:hAnsiTheme="minorHAnsi" w:cstheme="minorBidi"/>
              <w:color w:val="auto"/>
              <w:kern w:val="2"/>
              <w:sz w:val="24"/>
              <w:szCs w:val="24"/>
              <w:lang w:eastAsia="en-AU"/>
              <w14:ligatures w14:val="standardContextual"/>
            </w:rPr>
          </w:pPr>
          <w:hyperlink w:anchor="_Toc236917899" w:history="1">
            <w:r w:rsidRPr="002B3E82">
              <w:rPr>
                <w:rStyle w:val="Hyperlink"/>
              </w:rPr>
              <w:t>Introduction</w:t>
            </w:r>
            <w:r>
              <w:rPr>
                <w:webHidden/>
              </w:rPr>
              <w:tab/>
            </w:r>
            <w:r>
              <w:rPr>
                <w:webHidden/>
              </w:rPr>
              <w:fldChar w:fldCharType="begin"/>
            </w:r>
            <w:r>
              <w:rPr>
                <w:webHidden/>
              </w:rPr>
              <w:instrText xml:space="preserve"> PAGEREF _Toc236917899 \h </w:instrText>
            </w:r>
            <w:r>
              <w:rPr>
                <w:webHidden/>
              </w:rPr>
            </w:r>
            <w:r>
              <w:rPr>
                <w:webHidden/>
              </w:rPr>
              <w:fldChar w:fldCharType="separate"/>
            </w:r>
            <w:r>
              <w:rPr>
                <w:webHidden/>
              </w:rPr>
              <w:t>8</w:t>
            </w:r>
            <w:r>
              <w:rPr>
                <w:webHidden/>
              </w:rPr>
              <w:fldChar w:fldCharType="end"/>
            </w:r>
          </w:hyperlink>
        </w:p>
        <w:p w14:paraId="0914D36D" w14:textId="4FE81343" w:rsidR="00202921" w:rsidRDefault="00202921">
          <w:pPr>
            <w:pStyle w:val="TOC1"/>
            <w:rPr>
              <w:rFonts w:asciiTheme="minorHAnsi" w:eastAsiaTheme="minorEastAsia" w:hAnsiTheme="minorHAnsi" w:cstheme="minorBidi"/>
              <w:color w:val="auto"/>
              <w:kern w:val="2"/>
              <w:sz w:val="24"/>
              <w:szCs w:val="24"/>
              <w:lang w:eastAsia="en-AU"/>
              <w14:ligatures w14:val="standardContextual"/>
            </w:rPr>
          </w:pPr>
          <w:hyperlink w:anchor="_Toc236917900" w:history="1">
            <w:r w:rsidRPr="002B3E82">
              <w:rPr>
                <w:rStyle w:val="Hyperlink"/>
              </w:rPr>
              <w:t>Purpose</w:t>
            </w:r>
            <w:r>
              <w:rPr>
                <w:webHidden/>
              </w:rPr>
              <w:tab/>
            </w:r>
            <w:r>
              <w:rPr>
                <w:webHidden/>
              </w:rPr>
              <w:fldChar w:fldCharType="begin"/>
            </w:r>
            <w:r>
              <w:rPr>
                <w:webHidden/>
              </w:rPr>
              <w:instrText xml:space="preserve"> PAGEREF _Toc236917900 \h </w:instrText>
            </w:r>
            <w:r>
              <w:rPr>
                <w:webHidden/>
              </w:rPr>
            </w:r>
            <w:r>
              <w:rPr>
                <w:webHidden/>
              </w:rPr>
              <w:fldChar w:fldCharType="separate"/>
            </w:r>
            <w:r>
              <w:rPr>
                <w:webHidden/>
              </w:rPr>
              <w:t>10</w:t>
            </w:r>
            <w:r>
              <w:rPr>
                <w:webHidden/>
              </w:rPr>
              <w:fldChar w:fldCharType="end"/>
            </w:r>
          </w:hyperlink>
        </w:p>
        <w:p w14:paraId="7EFFBCA8" w14:textId="16EAE75D" w:rsidR="00202921" w:rsidRDefault="00202921">
          <w:pPr>
            <w:pStyle w:val="TOC1"/>
            <w:rPr>
              <w:rFonts w:asciiTheme="minorHAnsi" w:eastAsiaTheme="minorEastAsia" w:hAnsiTheme="minorHAnsi" w:cstheme="minorBidi"/>
              <w:color w:val="auto"/>
              <w:kern w:val="2"/>
              <w:sz w:val="24"/>
              <w:szCs w:val="24"/>
              <w:lang w:eastAsia="en-AU"/>
              <w14:ligatures w14:val="standardContextual"/>
            </w:rPr>
          </w:pPr>
          <w:hyperlink w:anchor="_Toc236917901" w:history="1">
            <w:r w:rsidRPr="002B3E82">
              <w:rPr>
                <w:rStyle w:val="Hyperlink"/>
              </w:rPr>
              <w:t>Key activities</w:t>
            </w:r>
            <w:r>
              <w:rPr>
                <w:webHidden/>
              </w:rPr>
              <w:tab/>
            </w:r>
            <w:r>
              <w:rPr>
                <w:webHidden/>
              </w:rPr>
              <w:fldChar w:fldCharType="begin"/>
            </w:r>
            <w:r>
              <w:rPr>
                <w:webHidden/>
              </w:rPr>
              <w:instrText xml:space="preserve"> PAGEREF _Toc236917901 \h </w:instrText>
            </w:r>
            <w:r>
              <w:rPr>
                <w:webHidden/>
              </w:rPr>
            </w:r>
            <w:r>
              <w:rPr>
                <w:webHidden/>
              </w:rPr>
              <w:fldChar w:fldCharType="separate"/>
            </w:r>
            <w:r>
              <w:rPr>
                <w:webHidden/>
              </w:rPr>
              <w:t>14</w:t>
            </w:r>
            <w:r>
              <w:rPr>
                <w:webHidden/>
              </w:rPr>
              <w:fldChar w:fldCharType="end"/>
            </w:r>
          </w:hyperlink>
        </w:p>
        <w:p w14:paraId="33F584D9" w14:textId="2B7A9751" w:rsidR="00202921" w:rsidRDefault="00202921">
          <w:pPr>
            <w:pStyle w:val="TOC2"/>
            <w:rPr>
              <w:rFonts w:asciiTheme="minorHAnsi" w:eastAsiaTheme="minorEastAsia" w:hAnsiTheme="minorHAnsi" w:cstheme="minorBidi"/>
              <w:color w:val="auto"/>
              <w:kern w:val="2"/>
              <w:szCs w:val="24"/>
              <w:lang w:eastAsia="en-AU"/>
              <w14:ligatures w14:val="standardContextual"/>
            </w:rPr>
          </w:pPr>
          <w:hyperlink w:anchor="_Toc236917902" w:history="1">
            <w:r w:rsidRPr="002B3E82">
              <w:rPr>
                <w:rStyle w:val="Hyperlink"/>
              </w:rPr>
              <w:t>Areas of operation</w:t>
            </w:r>
            <w:r>
              <w:rPr>
                <w:webHidden/>
              </w:rPr>
              <w:tab/>
            </w:r>
            <w:r>
              <w:rPr>
                <w:webHidden/>
              </w:rPr>
              <w:fldChar w:fldCharType="begin"/>
            </w:r>
            <w:r>
              <w:rPr>
                <w:webHidden/>
              </w:rPr>
              <w:instrText xml:space="preserve"> PAGEREF _Toc236917902 \h </w:instrText>
            </w:r>
            <w:r>
              <w:rPr>
                <w:webHidden/>
              </w:rPr>
            </w:r>
            <w:r>
              <w:rPr>
                <w:webHidden/>
              </w:rPr>
              <w:fldChar w:fldCharType="separate"/>
            </w:r>
            <w:r>
              <w:rPr>
                <w:webHidden/>
              </w:rPr>
              <w:t>14</w:t>
            </w:r>
            <w:r>
              <w:rPr>
                <w:webHidden/>
              </w:rPr>
              <w:fldChar w:fldCharType="end"/>
            </w:r>
          </w:hyperlink>
        </w:p>
        <w:p w14:paraId="6CF65092" w14:textId="72F68298" w:rsidR="00202921" w:rsidRDefault="00202921">
          <w:pPr>
            <w:pStyle w:val="TOC2"/>
            <w:rPr>
              <w:rFonts w:asciiTheme="minorHAnsi" w:eastAsiaTheme="minorEastAsia" w:hAnsiTheme="minorHAnsi" w:cstheme="minorBidi"/>
              <w:color w:val="auto"/>
              <w:kern w:val="2"/>
              <w:szCs w:val="24"/>
              <w:lang w:eastAsia="en-AU"/>
              <w14:ligatures w14:val="standardContextual"/>
            </w:rPr>
          </w:pPr>
          <w:hyperlink w:anchor="_Toc236917903" w:history="1">
            <w:r w:rsidRPr="002B3E82">
              <w:rPr>
                <w:rStyle w:val="Hyperlink"/>
              </w:rPr>
              <w:t>Detecting corruption</w:t>
            </w:r>
            <w:r>
              <w:rPr>
                <w:webHidden/>
              </w:rPr>
              <w:tab/>
            </w:r>
            <w:r>
              <w:rPr>
                <w:webHidden/>
              </w:rPr>
              <w:fldChar w:fldCharType="begin"/>
            </w:r>
            <w:r>
              <w:rPr>
                <w:webHidden/>
              </w:rPr>
              <w:instrText xml:space="preserve"> PAGEREF _Toc236917903 \h </w:instrText>
            </w:r>
            <w:r>
              <w:rPr>
                <w:webHidden/>
              </w:rPr>
            </w:r>
            <w:r>
              <w:rPr>
                <w:webHidden/>
              </w:rPr>
              <w:fldChar w:fldCharType="separate"/>
            </w:r>
            <w:r>
              <w:rPr>
                <w:webHidden/>
              </w:rPr>
              <w:t>14</w:t>
            </w:r>
            <w:r>
              <w:rPr>
                <w:webHidden/>
              </w:rPr>
              <w:fldChar w:fldCharType="end"/>
            </w:r>
          </w:hyperlink>
        </w:p>
        <w:p w14:paraId="407DE5C7" w14:textId="02B42606" w:rsidR="00202921" w:rsidRDefault="00202921">
          <w:pPr>
            <w:pStyle w:val="TOC2"/>
            <w:rPr>
              <w:rFonts w:asciiTheme="minorHAnsi" w:eastAsiaTheme="minorEastAsia" w:hAnsiTheme="minorHAnsi" w:cstheme="minorBidi"/>
              <w:color w:val="auto"/>
              <w:kern w:val="2"/>
              <w:szCs w:val="24"/>
              <w:lang w:eastAsia="en-AU"/>
              <w14:ligatures w14:val="standardContextual"/>
            </w:rPr>
          </w:pPr>
          <w:hyperlink w:anchor="_Toc236917904" w:history="1">
            <w:r w:rsidRPr="002B3E82">
              <w:rPr>
                <w:rStyle w:val="Hyperlink"/>
              </w:rPr>
              <w:t>Receiving and assessing referrals</w:t>
            </w:r>
            <w:r>
              <w:rPr>
                <w:webHidden/>
              </w:rPr>
              <w:tab/>
            </w:r>
            <w:r>
              <w:rPr>
                <w:webHidden/>
              </w:rPr>
              <w:fldChar w:fldCharType="begin"/>
            </w:r>
            <w:r>
              <w:rPr>
                <w:webHidden/>
              </w:rPr>
              <w:instrText xml:space="preserve"> PAGEREF _Toc236917904 \h </w:instrText>
            </w:r>
            <w:r>
              <w:rPr>
                <w:webHidden/>
              </w:rPr>
            </w:r>
            <w:r>
              <w:rPr>
                <w:webHidden/>
              </w:rPr>
              <w:fldChar w:fldCharType="separate"/>
            </w:r>
            <w:r>
              <w:rPr>
                <w:webHidden/>
              </w:rPr>
              <w:t>15</w:t>
            </w:r>
            <w:r>
              <w:rPr>
                <w:webHidden/>
              </w:rPr>
              <w:fldChar w:fldCharType="end"/>
            </w:r>
          </w:hyperlink>
        </w:p>
        <w:p w14:paraId="38E4DD22" w14:textId="6AB187B5" w:rsidR="00202921" w:rsidRDefault="00202921">
          <w:pPr>
            <w:pStyle w:val="TOC2"/>
            <w:rPr>
              <w:rFonts w:asciiTheme="minorHAnsi" w:eastAsiaTheme="minorEastAsia" w:hAnsiTheme="minorHAnsi" w:cstheme="minorBidi"/>
              <w:color w:val="auto"/>
              <w:kern w:val="2"/>
              <w:szCs w:val="24"/>
              <w:lang w:eastAsia="en-AU"/>
              <w14:ligatures w14:val="standardContextual"/>
            </w:rPr>
          </w:pPr>
          <w:hyperlink w:anchor="_Toc236917905" w:history="1">
            <w:r w:rsidRPr="002B3E82">
              <w:rPr>
                <w:rStyle w:val="Hyperlink"/>
              </w:rPr>
              <w:t>Conducting investigations</w:t>
            </w:r>
            <w:r>
              <w:rPr>
                <w:webHidden/>
              </w:rPr>
              <w:tab/>
            </w:r>
            <w:r>
              <w:rPr>
                <w:webHidden/>
              </w:rPr>
              <w:fldChar w:fldCharType="begin"/>
            </w:r>
            <w:r>
              <w:rPr>
                <w:webHidden/>
              </w:rPr>
              <w:instrText xml:space="preserve"> PAGEREF _Toc236917905 \h </w:instrText>
            </w:r>
            <w:r>
              <w:rPr>
                <w:webHidden/>
              </w:rPr>
            </w:r>
            <w:r>
              <w:rPr>
                <w:webHidden/>
              </w:rPr>
              <w:fldChar w:fldCharType="separate"/>
            </w:r>
            <w:r>
              <w:rPr>
                <w:webHidden/>
              </w:rPr>
              <w:t>17</w:t>
            </w:r>
            <w:r>
              <w:rPr>
                <w:webHidden/>
              </w:rPr>
              <w:fldChar w:fldCharType="end"/>
            </w:r>
          </w:hyperlink>
        </w:p>
        <w:p w14:paraId="3F043306" w14:textId="799B4B22" w:rsidR="00202921" w:rsidRDefault="00202921">
          <w:pPr>
            <w:pStyle w:val="TOC2"/>
            <w:rPr>
              <w:rFonts w:asciiTheme="minorHAnsi" w:eastAsiaTheme="minorEastAsia" w:hAnsiTheme="minorHAnsi" w:cstheme="minorBidi"/>
              <w:color w:val="auto"/>
              <w:kern w:val="2"/>
              <w:szCs w:val="24"/>
              <w:lang w:eastAsia="en-AU"/>
              <w14:ligatures w14:val="standardContextual"/>
            </w:rPr>
          </w:pPr>
          <w:hyperlink w:anchor="_Toc236917906" w:history="1">
            <w:r w:rsidRPr="002B3E82">
              <w:rPr>
                <w:rStyle w:val="Hyperlink"/>
              </w:rPr>
              <w:t>Referring corruption issues to other Commonwealth agencies for investigation</w:t>
            </w:r>
            <w:r>
              <w:rPr>
                <w:webHidden/>
              </w:rPr>
              <w:tab/>
            </w:r>
            <w:r>
              <w:rPr>
                <w:webHidden/>
              </w:rPr>
              <w:fldChar w:fldCharType="begin"/>
            </w:r>
            <w:r>
              <w:rPr>
                <w:webHidden/>
              </w:rPr>
              <w:instrText xml:space="preserve"> PAGEREF _Toc236917906 \h </w:instrText>
            </w:r>
            <w:r>
              <w:rPr>
                <w:webHidden/>
              </w:rPr>
            </w:r>
            <w:r>
              <w:rPr>
                <w:webHidden/>
              </w:rPr>
              <w:fldChar w:fldCharType="separate"/>
            </w:r>
            <w:r>
              <w:rPr>
                <w:webHidden/>
              </w:rPr>
              <w:t>19</w:t>
            </w:r>
            <w:r>
              <w:rPr>
                <w:webHidden/>
              </w:rPr>
              <w:fldChar w:fldCharType="end"/>
            </w:r>
          </w:hyperlink>
        </w:p>
        <w:p w14:paraId="1F264692" w14:textId="3649D7A4" w:rsidR="00202921" w:rsidRDefault="00202921">
          <w:pPr>
            <w:pStyle w:val="TOC2"/>
            <w:rPr>
              <w:rFonts w:asciiTheme="minorHAnsi" w:eastAsiaTheme="minorEastAsia" w:hAnsiTheme="minorHAnsi" w:cstheme="minorBidi"/>
              <w:color w:val="auto"/>
              <w:kern w:val="2"/>
              <w:szCs w:val="24"/>
              <w:lang w:eastAsia="en-AU"/>
              <w14:ligatures w14:val="standardContextual"/>
            </w:rPr>
          </w:pPr>
          <w:hyperlink w:anchor="_Toc236917907" w:history="1">
            <w:r w:rsidRPr="002B3E82">
              <w:rPr>
                <w:rStyle w:val="Hyperlink"/>
              </w:rPr>
              <w:t>Creating and disseminating corruption prevention information and education to build a strong public sector integrity culture</w:t>
            </w:r>
            <w:r>
              <w:rPr>
                <w:webHidden/>
              </w:rPr>
              <w:tab/>
            </w:r>
            <w:r>
              <w:rPr>
                <w:webHidden/>
              </w:rPr>
              <w:fldChar w:fldCharType="begin"/>
            </w:r>
            <w:r>
              <w:rPr>
                <w:webHidden/>
              </w:rPr>
              <w:instrText xml:space="preserve"> PAGEREF _Toc236917907 \h </w:instrText>
            </w:r>
            <w:r>
              <w:rPr>
                <w:webHidden/>
              </w:rPr>
            </w:r>
            <w:r>
              <w:rPr>
                <w:webHidden/>
              </w:rPr>
              <w:fldChar w:fldCharType="separate"/>
            </w:r>
            <w:r>
              <w:rPr>
                <w:webHidden/>
              </w:rPr>
              <w:t>19</w:t>
            </w:r>
            <w:r>
              <w:rPr>
                <w:webHidden/>
              </w:rPr>
              <w:fldChar w:fldCharType="end"/>
            </w:r>
          </w:hyperlink>
        </w:p>
        <w:p w14:paraId="1A6E1D44" w14:textId="12CEE017" w:rsidR="00202921" w:rsidRDefault="00202921">
          <w:pPr>
            <w:pStyle w:val="TOC1"/>
            <w:rPr>
              <w:rFonts w:asciiTheme="minorHAnsi" w:eastAsiaTheme="minorEastAsia" w:hAnsiTheme="minorHAnsi" w:cstheme="minorBidi"/>
              <w:color w:val="auto"/>
              <w:kern w:val="2"/>
              <w:sz w:val="24"/>
              <w:szCs w:val="24"/>
              <w:lang w:eastAsia="en-AU"/>
              <w14:ligatures w14:val="standardContextual"/>
            </w:rPr>
          </w:pPr>
          <w:hyperlink w:anchor="_Toc236917908" w:history="1">
            <w:r w:rsidRPr="002B3E82">
              <w:rPr>
                <w:rStyle w:val="Hyperlink"/>
              </w:rPr>
              <w:t>Operating context</w:t>
            </w:r>
            <w:r>
              <w:rPr>
                <w:webHidden/>
              </w:rPr>
              <w:tab/>
            </w:r>
            <w:r>
              <w:rPr>
                <w:webHidden/>
              </w:rPr>
              <w:fldChar w:fldCharType="begin"/>
            </w:r>
            <w:r>
              <w:rPr>
                <w:webHidden/>
              </w:rPr>
              <w:instrText xml:space="preserve"> PAGEREF _Toc236917908 \h </w:instrText>
            </w:r>
            <w:r>
              <w:rPr>
                <w:webHidden/>
              </w:rPr>
            </w:r>
            <w:r>
              <w:rPr>
                <w:webHidden/>
              </w:rPr>
              <w:fldChar w:fldCharType="separate"/>
            </w:r>
            <w:r>
              <w:rPr>
                <w:webHidden/>
              </w:rPr>
              <w:t>21</w:t>
            </w:r>
            <w:r>
              <w:rPr>
                <w:webHidden/>
              </w:rPr>
              <w:fldChar w:fldCharType="end"/>
            </w:r>
          </w:hyperlink>
        </w:p>
        <w:p w14:paraId="0D658576" w14:textId="7508718A" w:rsidR="00202921" w:rsidRDefault="00202921">
          <w:pPr>
            <w:pStyle w:val="TOC2"/>
            <w:rPr>
              <w:rFonts w:asciiTheme="minorHAnsi" w:eastAsiaTheme="minorEastAsia" w:hAnsiTheme="minorHAnsi" w:cstheme="minorBidi"/>
              <w:color w:val="auto"/>
              <w:kern w:val="2"/>
              <w:szCs w:val="24"/>
              <w:lang w:eastAsia="en-AU"/>
              <w14:ligatures w14:val="standardContextual"/>
            </w:rPr>
          </w:pPr>
          <w:hyperlink w:anchor="_Toc236917909" w:history="1">
            <w:r w:rsidRPr="002B3E82">
              <w:rPr>
                <w:rStyle w:val="Hyperlink"/>
              </w:rPr>
              <w:t>Operating environment</w:t>
            </w:r>
            <w:r>
              <w:rPr>
                <w:webHidden/>
              </w:rPr>
              <w:tab/>
            </w:r>
            <w:r>
              <w:rPr>
                <w:webHidden/>
              </w:rPr>
              <w:fldChar w:fldCharType="begin"/>
            </w:r>
            <w:r>
              <w:rPr>
                <w:webHidden/>
              </w:rPr>
              <w:instrText xml:space="preserve"> PAGEREF _Toc236917909 \h </w:instrText>
            </w:r>
            <w:r>
              <w:rPr>
                <w:webHidden/>
              </w:rPr>
            </w:r>
            <w:r>
              <w:rPr>
                <w:webHidden/>
              </w:rPr>
              <w:fldChar w:fldCharType="separate"/>
            </w:r>
            <w:r>
              <w:rPr>
                <w:webHidden/>
              </w:rPr>
              <w:t>21</w:t>
            </w:r>
            <w:r>
              <w:rPr>
                <w:webHidden/>
              </w:rPr>
              <w:fldChar w:fldCharType="end"/>
            </w:r>
          </w:hyperlink>
        </w:p>
        <w:p w14:paraId="0ABDA57C" w14:textId="6393CB6F" w:rsidR="00202921" w:rsidRDefault="00202921">
          <w:pPr>
            <w:pStyle w:val="TOC2"/>
            <w:rPr>
              <w:rFonts w:asciiTheme="minorHAnsi" w:eastAsiaTheme="minorEastAsia" w:hAnsiTheme="minorHAnsi" w:cstheme="minorBidi"/>
              <w:color w:val="auto"/>
              <w:kern w:val="2"/>
              <w:szCs w:val="24"/>
              <w:lang w:eastAsia="en-AU"/>
              <w14:ligatures w14:val="standardContextual"/>
            </w:rPr>
          </w:pPr>
          <w:hyperlink w:anchor="_Toc236917910" w:history="1">
            <w:r w:rsidRPr="002B3E82">
              <w:rPr>
                <w:rStyle w:val="Hyperlink"/>
              </w:rPr>
              <w:t>Oversight</w:t>
            </w:r>
            <w:r>
              <w:rPr>
                <w:webHidden/>
              </w:rPr>
              <w:tab/>
            </w:r>
            <w:r>
              <w:rPr>
                <w:webHidden/>
              </w:rPr>
              <w:fldChar w:fldCharType="begin"/>
            </w:r>
            <w:r>
              <w:rPr>
                <w:webHidden/>
              </w:rPr>
              <w:instrText xml:space="preserve"> PAGEREF _Toc236917910 \h </w:instrText>
            </w:r>
            <w:r>
              <w:rPr>
                <w:webHidden/>
              </w:rPr>
            </w:r>
            <w:r>
              <w:rPr>
                <w:webHidden/>
              </w:rPr>
              <w:fldChar w:fldCharType="separate"/>
            </w:r>
            <w:r>
              <w:rPr>
                <w:webHidden/>
              </w:rPr>
              <w:t>23</w:t>
            </w:r>
            <w:r>
              <w:rPr>
                <w:webHidden/>
              </w:rPr>
              <w:fldChar w:fldCharType="end"/>
            </w:r>
          </w:hyperlink>
        </w:p>
        <w:p w14:paraId="28824091" w14:textId="18D50C82" w:rsidR="00202921" w:rsidRDefault="00202921">
          <w:pPr>
            <w:pStyle w:val="TOC2"/>
            <w:rPr>
              <w:rFonts w:asciiTheme="minorHAnsi" w:eastAsiaTheme="minorEastAsia" w:hAnsiTheme="minorHAnsi" w:cstheme="minorBidi"/>
              <w:color w:val="auto"/>
              <w:kern w:val="2"/>
              <w:szCs w:val="24"/>
              <w:lang w:eastAsia="en-AU"/>
              <w14:ligatures w14:val="standardContextual"/>
            </w:rPr>
          </w:pPr>
          <w:hyperlink w:anchor="_Toc236917911" w:history="1">
            <w:r w:rsidRPr="002B3E82">
              <w:rPr>
                <w:rStyle w:val="Hyperlink"/>
              </w:rPr>
              <w:t>Capability</w:t>
            </w:r>
            <w:r>
              <w:rPr>
                <w:webHidden/>
              </w:rPr>
              <w:tab/>
            </w:r>
            <w:r>
              <w:rPr>
                <w:webHidden/>
              </w:rPr>
              <w:fldChar w:fldCharType="begin"/>
            </w:r>
            <w:r>
              <w:rPr>
                <w:webHidden/>
              </w:rPr>
              <w:instrText xml:space="preserve"> PAGEREF _Toc236917911 \h </w:instrText>
            </w:r>
            <w:r>
              <w:rPr>
                <w:webHidden/>
              </w:rPr>
            </w:r>
            <w:r>
              <w:rPr>
                <w:webHidden/>
              </w:rPr>
              <w:fldChar w:fldCharType="separate"/>
            </w:r>
            <w:r>
              <w:rPr>
                <w:webHidden/>
              </w:rPr>
              <w:t>30</w:t>
            </w:r>
            <w:r>
              <w:rPr>
                <w:webHidden/>
              </w:rPr>
              <w:fldChar w:fldCharType="end"/>
            </w:r>
          </w:hyperlink>
        </w:p>
        <w:p w14:paraId="27F3CF32" w14:textId="792554B1" w:rsidR="00202921" w:rsidRDefault="00202921">
          <w:pPr>
            <w:pStyle w:val="TOC2"/>
            <w:rPr>
              <w:rFonts w:asciiTheme="minorHAnsi" w:eastAsiaTheme="minorEastAsia" w:hAnsiTheme="minorHAnsi" w:cstheme="minorBidi"/>
              <w:color w:val="auto"/>
              <w:kern w:val="2"/>
              <w:szCs w:val="24"/>
              <w:lang w:eastAsia="en-AU"/>
              <w14:ligatures w14:val="standardContextual"/>
            </w:rPr>
          </w:pPr>
          <w:hyperlink w:anchor="_Toc236917912" w:history="1">
            <w:r w:rsidRPr="002B3E82">
              <w:rPr>
                <w:rStyle w:val="Hyperlink"/>
              </w:rPr>
              <w:t>Risk oversight and management</w:t>
            </w:r>
            <w:r>
              <w:rPr>
                <w:webHidden/>
              </w:rPr>
              <w:tab/>
            </w:r>
            <w:r>
              <w:rPr>
                <w:webHidden/>
              </w:rPr>
              <w:fldChar w:fldCharType="begin"/>
            </w:r>
            <w:r>
              <w:rPr>
                <w:webHidden/>
              </w:rPr>
              <w:instrText xml:space="preserve"> PAGEREF _Toc236917912 \h </w:instrText>
            </w:r>
            <w:r>
              <w:rPr>
                <w:webHidden/>
              </w:rPr>
            </w:r>
            <w:r>
              <w:rPr>
                <w:webHidden/>
              </w:rPr>
              <w:fldChar w:fldCharType="separate"/>
            </w:r>
            <w:r>
              <w:rPr>
                <w:webHidden/>
              </w:rPr>
              <w:t>34</w:t>
            </w:r>
            <w:r>
              <w:rPr>
                <w:webHidden/>
              </w:rPr>
              <w:fldChar w:fldCharType="end"/>
            </w:r>
          </w:hyperlink>
        </w:p>
        <w:p w14:paraId="4F6086CE" w14:textId="2BD3154E" w:rsidR="00202921" w:rsidRDefault="00202921">
          <w:pPr>
            <w:pStyle w:val="TOC1"/>
            <w:rPr>
              <w:rFonts w:asciiTheme="minorHAnsi" w:eastAsiaTheme="minorEastAsia" w:hAnsiTheme="minorHAnsi" w:cstheme="minorBidi"/>
              <w:color w:val="auto"/>
              <w:kern w:val="2"/>
              <w:sz w:val="24"/>
              <w:szCs w:val="24"/>
              <w:lang w:eastAsia="en-AU"/>
              <w14:ligatures w14:val="standardContextual"/>
            </w:rPr>
          </w:pPr>
          <w:hyperlink w:anchor="_Toc236917913" w:history="1">
            <w:r w:rsidRPr="002B3E82">
              <w:rPr>
                <w:rStyle w:val="Hyperlink"/>
              </w:rPr>
              <w:t>Performance</w:t>
            </w:r>
            <w:r>
              <w:rPr>
                <w:webHidden/>
              </w:rPr>
              <w:tab/>
            </w:r>
            <w:r>
              <w:rPr>
                <w:webHidden/>
              </w:rPr>
              <w:fldChar w:fldCharType="begin"/>
            </w:r>
            <w:r>
              <w:rPr>
                <w:webHidden/>
              </w:rPr>
              <w:instrText xml:space="preserve"> PAGEREF _Toc236917913 \h </w:instrText>
            </w:r>
            <w:r>
              <w:rPr>
                <w:webHidden/>
              </w:rPr>
            </w:r>
            <w:r>
              <w:rPr>
                <w:webHidden/>
              </w:rPr>
              <w:fldChar w:fldCharType="separate"/>
            </w:r>
            <w:r>
              <w:rPr>
                <w:webHidden/>
              </w:rPr>
              <w:t>42</w:t>
            </w:r>
            <w:r>
              <w:rPr>
                <w:webHidden/>
              </w:rPr>
              <w:fldChar w:fldCharType="end"/>
            </w:r>
          </w:hyperlink>
        </w:p>
        <w:p w14:paraId="45207E47" w14:textId="7E54F5F1" w:rsidR="00202921" w:rsidRDefault="00202921">
          <w:pPr>
            <w:pStyle w:val="TOC2"/>
            <w:rPr>
              <w:rFonts w:asciiTheme="minorHAnsi" w:eastAsiaTheme="minorEastAsia" w:hAnsiTheme="minorHAnsi" w:cstheme="minorBidi"/>
              <w:color w:val="auto"/>
              <w:kern w:val="2"/>
              <w:szCs w:val="24"/>
              <w:lang w:eastAsia="en-AU"/>
              <w14:ligatures w14:val="standardContextual"/>
            </w:rPr>
          </w:pPr>
          <w:hyperlink w:anchor="_Toc236917914" w:history="1">
            <w:r w:rsidRPr="002B3E82">
              <w:rPr>
                <w:rStyle w:val="Hyperlink"/>
              </w:rPr>
              <w:t>Performance measures and targets</w:t>
            </w:r>
            <w:r>
              <w:rPr>
                <w:webHidden/>
              </w:rPr>
              <w:tab/>
            </w:r>
            <w:r>
              <w:rPr>
                <w:webHidden/>
              </w:rPr>
              <w:fldChar w:fldCharType="begin"/>
            </w:r>
            <w:r>
              <w:rPr>
                <w:webHidden/>
              </w:rPr>
              <w:instrText xml:space="preserve"> PAGEREF _Toc236917914 \h </w:instrText>
            </w:r>
            <w:r>
              <w:rPr>
                <w:webHidden/>
              </w:rPr>
            </w:r>
            <w:r>
              <w:rPr>
                <w:webHidden/>
              </w:rPr>
              <w:fldChar w:fldCharType="separate"/>
            </w:r>
            <w:r>
              <w:rPr>
                <w:webHidden/>
              </w:rPr>
              <w:t>42</w:t>
            </w:r>
            <w:r>
              <w:rPr>
                <w:webHidden/>
              </w:rPr>
              <w:fldChar w:fldCharType="end"/>
            </w:r>
          </w:hyperlink>
        </w:p>
        <w:p w14:paraId="0A9943C9" w14:textId="7CBEEE71" w:rsidR="00202921" w:rsidRDefault="00202921">
          <w:pPr>
            <w:pStyle w:val="TOC2"/>
            <w:rPr>
              <w:rFonts w:asciiTheme="minorHAnsi" w:eastAsiaTheme="minorEastAsia" w:hAnsiTheme="minorHAnsi" w:cstheme="minorBidi"/>
              <w:color w:val="auto"/>
              <w:kern w:val="2"/>
              <w:szCs w:val="24"/>
              <w:lang w:eastAsia="en-AU"/>
              <w14:ligatures w14:val="standardContextual"/>
            </w:rPr>
          </w:pPr>
          <w:hyperlink w:anchor="_Toc236917915" w:history="1">
            <w:r w:rsidRPr="002B3E82">
              <w:rPr>
                <w:rStyle w:val="Hyperlink"/>
              </w:rPr>
              <w:t>NACC Act reporting requirements</w:t>
            </w:r>
            <w:r>
              <w:rPr>
                <w:webHidden/>
              </w:rPr>
              <w:tab/>
            </w:r>
            <w:r>
              <w:rPr>
                <w:webHidden/>
              </w:rPr>
              <w:fldChar w:fldCharType="begin"/>
            </w:r>
            <w:r>
              <w:rPr>
                <w:webHidden/>
              </w:rPr>
              <w:instrText xml:space="preserve"> PAGEREF _Toc236917915 \h </w:instrText>
            </w:r>
            <w:r>
              <w:rPr>
                <w:webHidden/>
              </w:rPr>
            </w:r>
            <w:r>
              <w:rPr>
                <w:webHidden/>
              </w:rPr>
              <w:fldChar w:fldCharType="separate"/>
            </w:r>
            <w:r>
              <w:rPr>
                <w:webHidden/>
              </w:rPr>
              <w:t>53</w:t>
            </w:r>
            <w:r>
              <w:rPr>
                <w:webHidden/>
              </w:rPr>
              <w:fldChar w:fldCharType="end"/>
            </w:r>
          </w:hyperlink>
        </w:p>
        <w:p w14:paraId="693E3A83" w14:textId="34CA2F44" w:rsidR="00016CA7" w:rsidRPr="00227DC6" w:rsidRDefault="00016CA7">
          <w:pPr>
            <w:rPr>
              <w:rFonts w:ascii="Work Sans SemiBold" w:hAnsi="Work Sans SemiBold"/>
            </w:rPr>
          </w:pPr>
          <w:r w:rsidRPr="00227DC6">
            <w:fldChar w:fldCharType="end"/>
          </w:r>
        </w:p>
      </w:sdtContent>
    </w:sdt>
    <w:p w14:paraId="19703301" w14:textId="48636A93" w:rsidR="002209C8" w:rsidRPr="00906A89" w:rsidRDefault="002209C8" w:rsidP="00122655">
      <w:pPr>
        <w:pStyle w:val="Heading1"/>
      </w:pPr>
      <w:bookmarkStart w:id="31" w:name="_Toc221793662"/>
      <w:bookmarkStart w:id="32" w:name="_Toc221793682"/>
      <w:bookmarkStart w:id="33" w:name="_Toc236917898"/>
      <w:bookmarkEnd w:id="10"/>
      <w:r>
        <w:lastRenderedPageBreak/>
        <w:t>Commissioner’s foreword</w:t>
      </w:r>
      <w:bookmarkEnd w:id="31"/>
      <w:bookmarkEnd w:id="32"/>
      <w:bookmarkEnd w:id="33"/>
    </w:p>
    <w:p w14:paraId="4D63F247" w14:textId="50E4AEB2" w:rsidR="00592DDA" w:rsidRPr="006E62D9" w:rsidRDefault="003B5306" w:rsidP="00592DDA">
      <w:pPr>
        <w:keepNext/>
      </w:pPr>
      <w:r>
        <w:rPr>
          <w:noProof/>
        </w:rPr>
        <w:drawing>
          <wp:inline distT="0" distB="0" distL="0" distR="0" wp14:anchorId="7B404858" wp14:editId="3B6F0802">
            <wp:extent cx="2700829" cy="3600000"/>
            <wp:effectExtent l="0" t="0" r="4445" b="635"/>
            <wp:docPr id="1261360853" name="Picture 8" descr="Photo of Kylie Kilg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360853" name="Picture 8" descr="Photo of Kylie Kilgou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00829" cy="3600000"/>
                    </a:xfrm>
                    <a:prstGeom prst="rect">
                      <a:avLst/>
                    </a:prstGeom>
                  </pic:spPr>
                </pic:pic>
              </a:graphicData>
            </a:graphic>
          </wp:inline>
        </w:drawing>
      </w:r>
    </w:p>
    <w:p w14:paraId="3960542F" w14:textId="3E570D88" w:rsidR="003E7561" w:rsidRPr="006E62D9" w:rsidRDefault="001648CA" w:rsidP="00592DDA">
      <w:pPr>
        <w:keepNext/>
      </w:pPr>
      <w:r w:rsidRPr="00227DC6">
        <w:rPr>
          <w:rFonts w:ascii="Work Sans SemiBold" w:hAnsi="Work Sans SemiBold"/>
        </w:rPr>
        <w:t>Kylie Kilgour</w:t>
      </w:r>
      <w:r w:rsidR="003E7561" w:rsidRPr="006E62D9">
        <w:br/>
      </w:r>
      <w:r>
        <w:t xml:space="preserve">Acting </w:t>
      </w:r>
      <w:r w:rsidR="003E7561" w:rsidRPr="006E62D9">
        <w:t>National Anti-Corruption Commissioner</w:t>
      </w:r>
    </w:p>
    <w:p w14:paraId="5ADA19CF" w14:textId="66985059" w:rsidR="00D76B2F" w:rsidRPr="006E62D9" w:rsidRDefault="00D76B2F" w:rsidP="00324F45">
      <w:r>
        <w:t>The National Anti</w:t>
      </w:r>
      <w:r w:rsidR="005C2D4C">
        <w:rPr>
          <w:rFonts w:ascii="Cambria Math" w:hAnsi="Cambria Math" w:cs="Cambria Math"/>
        </w:rPr>
        <w:t>-</w:t>
      </w:r>
      <w:r>
        <w:t>Corruption Commission</w:t>
      </w:r>
      <w:r w:rsidRPr="16D7C4F1">
        <w:rPr>
          <w:rFonts w:ascii="Aptos" w:hAnsi="Aptos" w:cs="Aptos"/>
        </w:rPr>
        <w:t>’</w:t>
      </w:r>
      <w:r>
        <w:t>s Corporate Plan 2026</w:t>
      </w:r>
      <w:r w:rsidR="00B90D37">
        <w:t>–</w:t>
      </w:r>
      <w:r>
        <w:t>30 describes the organisation</w:t>
      </w:r>
      <w:r w:rsidRPr="16D7C4F1">
        <w:rPr>
          <w:rFonts w:ascii="Aptos" w:hAnsi="Aptos" w:cs="Aptos"/>
        </w:rPr>
        <w:t>’</w:t>
      </w:r>
      <w:r>
        <w:t>s strategic direction for the next 4</w:t>
      </w:r>
      <w:r w:rsidR="00DA003A">
        <w:t xml:space="preserve"> </w:t>
      </w:r>
      <w:r>
        <w:t>years.</w:t>
      </w:r>
    </w:p>
    <w:p w14:paraId="00D7169A" w14:textId="77777777" w:rsidR="00F575CC" w:rsidRDefault="00D76B2F" w:rsidP="00324F45">
      <w:r>
        <w:t xml:space="preserve">The Commission </w:t>
      </w:r>
      <w:r w:rsidR="001F6D0D" w:rsidRPr="00EB18EA">
        <w:t>was established in July 2023</w:t>
      </w:r>
      <w:r w:rsidR="001F6D0D">
        <w:t xml:space="preserve"> to </w:t>
      </w:r>
      <w:r>
        <w:t>provide independent assurance to the Australian community that corrupt conduct involving Commonwealth public officials is prevented, detected, investigated and responded to appropriately.</w:t>
      </w:r>
    </w:p>
    <w:p w14:paraId="50EA17CC" w14:textId="79139F66" w:rsidR="00F575CC" w:rsidRDefault="006207C7" w:rsidP="00324F45">
      <w:r>
        <w:t>W</w:t>
      </w:r>
      <w:r w:rsidR="000479C0">
        <w:t>e</w:t>
      </w:r>
      <w:r>
        <w:t xml:space="preserve"> also play an important role in </w:t>
      </w:r>
      <w:r w:rsidR="1BA411FD">
        <w:t>enhanc</w:t>
      </w:r>
      <w:r>
        <w:t>ing</w:t>
      </w:r>
      <w:r w:rsidR="1BA411FD">
        <w:t xml:space="preserve"> integrity in the Commonwealth public sector by deterring, detecting and preventing corrupt conduct involving Commonwealth public officials</w:t>
      </w:r>
      <w:r w:rsidR="00A1336D">
        <w:t xml:space="preserve">. </w:t>
      </w:r>
      <w:r w:rsidR="000B1ECB">
        <w:t>Our role complements</w:t>
      </w:r>
      <w:r w:rsidR="00DD2E4C">
        <w:t xml:space="preserve"> other </w:t>
      </w:r>
      <w:r w:rsidR="00C159A6">
        <w:t xml:space="preserve">significant </w:t>
      </w:r>
      <w:r w:rsidR="00DD2E4C">
        <w:t>activities undertaken by</w:t>
      </w:r>
      <w:r w:rsidR="0073355E">
        <w:t xml:space="preserve"> a complex ecosystem of</w:t>
      </w:r>
      <w:r w:rsidR="00DD2E4C">
        <w:t xml:space="preserve"> </w:t>
      </w:r>
      <w:r w:rsidR="000B1ECB">
        <w:t>Commonwealth integrity agencies,</w:t>
      </w:r>
      <w:r w:rsidR="00DD2E4C">
        <w:t xml:space="preserve"> </w:t>
      </w:r>
      <w:r w:rsidR="00CA7E25">
        <w:t xml:space="preserve">state and territory anti-corruption commissions, </w:t>
      </w:r>
      <w:r w:rsidR="000B1ECB">
        <w:t>the public sector and civil society stakeholders.</w:t>
      </w:r>
    </w:p>
    <w:p w14:paraId="6B15D938" w14:textId="254A7188" w:rsidR="00F575CC" w:rsidRDefault="1BA411FD" w:rsidP="00324F45">
      <w:r>
        <w:lastRenderedPageBreak/>
        <w:t xml:space="preserve">Integrity in the Commonwealth public sector is critical to ensuring that public </w:t>
      </w:r>
      <w:r w:rsidR="47D04B39">
        <w:t>officials</w:t>
      </w:r>
      <w:r w:rsidR="00065E97">
        <w:t>’</w:t>
      </w:r>
      <w:r w:rsidR="47D04B39">
        <w:t xml:space="preserve"> </w:t>
      </w:r>
      <w:r>
        <w:t>power</w:t>
      </w:r>
      <w:r w:rsidR="60EE6C6A">
        <w:t>s</w:t>
      </w:r>
      <w:r>
        <w:t xml:space="preserve"> </w:t>
      </w:r>
      <w:r w:rsidR="7BFD6CEA">
        <w:t>and responsibilities are</w:t>
      </w:r>
      <w:r>
        <w:t xml:space="preserve"> </w:t>
      </w:r>
      <w:r w:rsidR="00615621">
        <w:t>exercised</w:t>
      </w:r>
      <w:r>
        <w:t xml:space="preserve"> honestly, </w:t>
      </w:r>
      <w:r w:rsidR="00615621">
        <w:t>impartially</w:t>
      </w:r>
      <w:r>
        <w:t xml:space="preserve"> and in the public interest. It is also essential to </w:t>
      </w:r>
      <w:r w:rsidR="1C574FB2">
        <w:t xml:space="preserve">ensuring that </w:t>
      </w:r>
      <w:r w:rsidR="00D772E7">
        <w:t xml:space="preserve">public funding and resources </w:t>
      </w:r>
      <w:r w:rsidR="00A45049">
        <w:t xml:space="preserve">are </w:t>
      </w:r>
      <w:r w:rsidR="00680BEC">
        <w:t xml:space="preserve">not </w:t>
      </w:r>
      <w:r w:rsidR="607555A1">
        <w:t>mis</w:t>
      </w:r>
      <w:r w:rsidR="00680BEC">
        <w:t>used for corrupt purposes</w:t>
      </w:r>
      <w:r w:rsidR="00EE361B">
        <w:t xml:space="preserve">, particularly </w:t>
      </w:r>
      <w:r w:rsidR="00AE2369">
        <w:t>in current times of</w:t>
      </w:r>
      <w:r w:rsidR="00EE361B">
        <w:t xml:space="preserve"> increasing constraints</w:t>
      </w:r>
      <w:r w:rsidR="000E7DE2">
        <w:t xml:space="preserve"> on </w:t>
      </w:r>
      <w:r w:rsidR="000028F4">
        <w:t xml:space="preserve">the </w:t>
      </w:r>
      <w:r w:rsidR="728E7A1F">
        <w:t>F</w:t>
      </w:r>
      <w:r w:rsidR="001E678D">
        <w:t>ederal</w:t>
      </w:r>
      <w:r w:rsidR="000E7DE2">
        <w:t xml:space="preserve"> </w:t>
      </w:r>
      <w:r w:rsidR="1B2C9A1B">
        <w:t>b</w:t>
      </w:r>
      <w:r w:rsidR="001E678D">
        <w:t xml:space="preserve">udget </w:t>
      </w:r>
      <w:r w:rsidR="000E7DE2">
        <w:t>and cost</w:t>
      </w:r>
      <w:r w:rsidR="002D3AE7">
        <w:t>-</w:t>
      </w:r>
      <w:r w:rsidR="000E7DE2">
        <w:t>of</w:t>
      </w:r>
      <w:r w:rsidR="002D3AE7">
        <w:t>-</w:t>
      </w:r>
      <w:r w:rsidR="000E7DE2">
        <w:t>living stress</w:t>
      </w:r>
      <w:r w:rsidR="36DB888D">
        <w:t>ors</w:t>
      </w:r>
      <w:r w:rsidR="000E7DE2">
        <w:t xml:space="preserve"> in the </w:t>
      </w:r>
      <w:r w:rsidR="000028F4">
        <w:t xml:space="preserve">Australian </w:t>
      </w:r>
      <w:r w:rsidR="000E7DE2">
        <w:t>community</w:t>
      </w:r>
      <w:r w:rsidR="00712658">
        <w:t>.</w:t>
      </w:r>
    </w:p>
    <w:p w14:paraId="22287129" w14:textId="66DA9869" w:rsidR="0099078A" w:rsidRPr="006E62D9" w:rsidRDefault="005F6763" w:rsidP="00324F45">
      <w:r>
        <w:t xml:space="preserve">The Commission will maintain a steadfast focus on </w:t>
      </w:r>
      <w:r w:rsidR="00003888">
        <w:t>resolving</w:t>
      </w:r>
      <w:r w:rsidR="00831237">
        <w:t xml:space="preserve"> investigations</w:t>
      </w:r>
      <w:r w:rsidR="00DF3D3E">
        <w:t xml:space="preserve">, </w:t>
      </w:r>
      <w:r w:rsidR="00095B5B">
        <w:t>promot</w:t>
      </w:r>
      <w:r w:rsidR="007C6EAE">
        <w:t>ing practices that prevent corrupt conduct</w:t>
      </w:r>
      <w:r w:rsidR="001A691B">
        <w:t xml:space="preserve"> and public</w:t>
      </w:r>
      <w:r w:rsidR="00DB1DB6">
        <w:t>ly</w:t>
      </w:r>
      <w:r w:rsidR="001A691B">
        <w:t xml:space="preserve"> communicating about our role</w:t>
      </w:r>
      <w:r w:rsidR="007C6EAE">
        <w:t xml:space="preserve"> </w:t>
      </w:r>
      <w:r w:rsidR="00C27C31">
        <w:t xml:space="preserve">and progress </w:t>
      </w:r>
      <w:r w:rsidR="00CF661E">
        <w:t xml:space="preserve">over the </w:t>
      </w:r>
      <w:r w:rsidR="004C621F">
        <w:t>next</w:t>
      </w:r>
      <w:r w:rsidR="00CF661E">
        <w:t xml:space="preserve"> 4 years.</w:t>
      </w:r>
    </w:p>
    <w:p w14:paraId="0ED47731" w14:textId="01E663C4" w:rsidR="00C51524" w:rsidRPr="00906A89" w:rsidRDefault="00711B46" w:rsidP="008C37D2">
      <w:r>
        <w:rPr>
          <w:noProof/>
        </w:rPr>
        <w:drawing>
          <wp:inline distT="0" distB="0" distL="0" distR="0" wp14:anchorId="2E4A194E" wp14:editId="74D6EF55">
            <wp:extent cx="1564059" cy="1080000"/>
            <wp:effectExtent l="0" t="0" r="0" b="6350"/>
            <wp:docPr id="179651512" name="Picture 8" descr="Signature of Kylie Kilg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51512" name="Picture 8" descr="Signature of Kylie Kilgou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64059" cy="1080000"/>
                    </a:xfrm>
                    <a:prstGeom prst="rect">
                      <a:avLst/>
                    </a:prstGeom>
                  </pic:spPr>
                </pic:pic>
              </a:graphicData>
            </a:graphic>
          </wp:inline>
        </w:drawing>
      </w:r>
    </w:p>
    <w:p w14:paraId="259D5AFE" w14:textId="77777777" w:rsidR="00282BC0" w:rsidRDefault="001648CA" w:rsidP="009A7AF2">
      <w:r w:rsidRPr="007A2EF1">
        <w:rPr>
          <w:rFonts w:ascii="Work Sans SemiBold" w:hAnsi="Work Sans SemiBold"/>
        </w:rPr>
        <w:t>Kylie Kilgour</w:t>
      </w:r>
      <w:r w:rsidR="002209C8" w:rsidRPr="009A7AF2">
        <w:br/>
      </w:r>
      <w:r w:rsidRPr="009A7AF2">
        <w:t xml:space="preserve">Acting </w:t>
      </w:r>
      <w:r w:rsidR="002209C8" w:rsidRPr="009A7AF2">
        <w:t>National Anti-Corruption Commissioner</w:t>
      </w:r>
    </w:p>
    <w:p w14:paraId="11B309D1" w14:textId="2E5EFDA4" w:rsidR="002209C8" w:rsidRPr="00906A89" w:rsidRDefault="002209C8" w:rsidP="00712D82">
      <w:pPr>
        <w:pStyle w:val="Heading1"/>
      </w:pPr>
      <w:bookmarkStart w:id="34" w:name="_Toc221793663"/>
      <w:bookmarkStart w:id="35" w:name="_Toc221793683"/>
      <w:bookmarkStart w:id="36" w:name="_Toc236917899"/>
      <w:r w:rsidRPr="00906A89">
        <w:lastRenderedPageBreak/>
        <w:t>Introduction</w:t>
      </w:r>
      <w:bookmarkEnd w:id="34"/>
      <w:bookmarkEnd w:id="35"/>
      <w:bookmarkEnd w:id="36"/>
    </w:p>
    <w:p w14:paraId="598079AF" w14:textId="2E261BB8" w:rsidR="00F2109F" w:rsidRPr="00906A89" w:rsidRDefault="00F2109F" w:rsidP="00F2109F">
      <w:r w:rsidRPr="00906A89">
        <w:rPr>
          <w:noProof/>
        </w:rPr>
        <w:drawing>
          <wp:inline distT="0" distB="0" distL="0" distR="0" wp14:anchorId="07023CA9" wp14:editId="1FE49D39">
            <wp:extent cx="2700000" cy="3600000"/>
            <wp:effectExtent l="0" t="0" r="5715" b="635"/>
            <wp:docPr id="2121958376" name="Picture 2" descr="Photo of Philip R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958376" name="Picture 2" descr="Photo of Philip Re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00000" cy="3600000"/>
                    </a:xfrm>
                    <a:prstGeom prst="rect">
                      <a:avLst/>
                    </a:prstGeom>
                  </pic:spPr>
                </pic:pic>
              </a:graphicData>
            </a:graphic>
          </wp:inline>
        </w:drawing>
      </w:r>
    </w:p>
    <w:p w14:paraId="7D55A19C" w14:textId="393A2480" w:rsidR="003735B2" w:rsidRPr="00906A89" w:rsidRDefault="003735B2" w:rsidP="00F2109F">
      <w:r w:rsidRPr="00227DC6">
        <w:rPr>
          <w:rFonts w:ascii="Work Sans SemiBold" w:hAnsi="Work Sans SemiBold"/>
        </w:rPr>
        <w:t>Philip Reed</w:t>
      </w:r>
      <w:r w:rsidRPr="00906A89">
        <w:br/>
        <w:t>Chief Executive Officer</w:t>
      </w:r>
    </w:p>
    <w:p w14:paraId="12D59531" w14:textId="371EA6A1" w:rsidR="008E6F6E" w:rsidRPr="006E62D9" w:rsidRDefault="008E6F6E" w:rsidP="00324F45">
      <w:r w:rsidRPr="006E62D9">
        <w:t>As the Chief Executive Officer and Accountable Authority of the National Anti</w:t>
      </w:r>
      <w:r w:rsidRPr="006E62D9">
        <w:rPr>
          <w:rFonts w:ascii="Cambria Math" w:hAnsi="Cambria Math" w:cs="Cambria Math"/>
        </w:rPr>
        <w:t>‑</w:t>
      </w:r>
      <w:r w:rsidRPr="006E62D9">
        <w:t>Corruption Commission, I am pleased to present the Commission</w:t>
      </w:r>
      <w:r w:rsidRPr="006E62D9">
        <w:rPr>
          <w:rFonts w:ascii="Aptos" w:hAnsi="Aptos" w:cs="Aptos"/>
        </w:rPr>
        <w:t>’</w:t>
      </w:r>
      <w:r w:rsidRPr="006E62D9">
        <w:t>s 2026</w:t>
      </w:r>
      <w:r w:rsidR="00843F5F" w:rsidRPr="006E62D9">
        <w:t>–</w:t>
      </w:r>
      <w:r w:rsidRPr="006E62D9">
        <w:t xml:space="preserve">30 Corporate Plan as required under section 35(1)(b) of the </w:t>
      </w:r>
      <w:r w:rsidRPr="006E62D9">
        <w:rPr>
          <w:i/>
          <w:iCs/>
        </w:rPr>
        <w:t>Public Governance, Performance and Accountability Act 2013</w:t>
      </w:r>
      <w:r w:rsidRPr="006E62D9">
        <w:t xml:space="preserve"> (PGPA Act).</w:t>
      </w:r>
    </w:p>
    <w:p w14:paraId="26C941EF" w14:textId="4C06B6D5" w:rsidR="008E6F6E" w:rsidRPr="006E62D9" w:rsidRDefault="008E6F6E" w:rsidP="00324F45">
      <w:r w:rsidRPr="006E62D9">
        <w:t>This plan is prepared for the financial year 2026</w:t>
      </w:r>
      <w:r w:rsidR="00843F5F" w:rsidRPr="006E62D9">
        <w:t>–</w:t>
      </w:r>
      <w:r w:rsidRPr="006E62D9">
        <w:t>27 and covers the 4-year period 2026</w:t>
      </w:r>
      <w:r w:rsidR="00843F5F" w:rsidRPr="006E62D9">
        <w:t>–</w:t>
      </w:r>
      <w:r w:rsidRPr="006E62D9">
        <w:t>30.</w:t>
      </w:r>
    </w:p>
    <w:p w14:paraId="11F32C18" w14:textId="3EC2389F" w:rsidR="008E6F6E" w:rsidRPr="006E62D9" w:rsidRDefault="008E6F6E" w:rsidP="00324F45">
      <w:r w:rsidRPr="006E62D9">
        <w:t>The plan identifies the purpose, guiding principles, key activities, operating context and performance measures for the Commission for the next 4</w:t>
      </w:r>
      <w:r w:rsidR="00DA003A" w:rsidRPr="003E22F6">
        <w:t xml:space="preserve"> </w:t>
      </w:r>
      <w:r w:rsidRPr="006E62D9">
        <w:t>years. It details the opportunities and challenges we face and how we will measure and assess the Commission’s performance in achieving its purpose.</w:t>
      </w:r>
    </w:p>
    <w:p w14:paraId="12C00EC9" w14:textId="77777777" w:rsidR="00F575CC" w:rsidRDefault="0D188C12" w:rsidP="00324F45">
      <w:r>
        <w:lastRenderedPageBreak/>
        <w:t xml:space="preserve">This reporting period will be a significant </w:t>
      </w:r>
      <w:r w:rsidR="742A9D86">
        <w:t xml:space="preserve">delivery </w:t>
      </w:r>
      <w:r>
        <w:t xml:space="preserve">phase for the Commission. We will see </w:t>
      </w:r>
      <w:r w:rsidR="4905E0D9">
        <w:t xml:space="preserve">the publication </w:t>
      </w:r>
      <w:r w:rsidR="596528C9">
        <w:t xml:space="preserve">and promotion </w:t>
      </w:r>
      <w:r w:rsidR="4905E0D9">
        <w:t xml:space="preserve">of </w:t>
      </w:r>
      <w:r>
        <w:t xml:space="preserve">more outcomes from our investigative </w:t>
      </w:r>
      <w:r w:rsidR="46E2064F">
        <w:t>work</w:t>
      </w:r>
      <w:r w:rsidR="521BF394">
        <w:t xml:space="preserve"> </w:t>
      </w:r>
      <w:r w:rsidR="31A71135">
        <w:t xml:space="preserve">which will ensure that both the Commonwealth public sector and the public </w:t>
      </w:r>
      <w:r w:rsidR="18CA6D05">
        <w:t xml:space="preserve">gain </w:t>
      </w:r>
      <w:r w:rsidR="5FEB6C84">
        <w:t>greater awareness</w:t>
      </w:r>
      <w:r w:rsidR="18CA6D05">
        <w:t xml:space="preserve"> of the important work of the Commission in </w:t>
      </w:r>
      <w:r w:rsidR="34A03DAA">
        <w:t xml:space="preserve">providing assurance </w:t>
      </w:r>
      <w:r w:rsidR="6646BA3C">
        <w:t xml:space="preserve">that </w:t>
      </w:r>
      <w:r w:rsidR="2799899F">
        <w:t>corrupt</w:t>
      </w:r>
      <w:r w:rsidR="6646BA3C">
        <w:t xml:space="preserve"> conduct is being detected and deterred.</w:t>
      </w:r>
    </w:p>
    <w:p w14:paraId="5610B9B1" w14:textId="7BF21FEF" w:rsidR="00C666AC" w:rsidRPr="006E62D9" w:rsidRDefault="00C666AC" w:rsidP="00324F45">
      <w:r>
        <w:t xml:space="preserve">At the core of the Commission is its </w:t>
      </w:r>
      <w:r w:rsidR="00510DED">
        <w:t xml:space="preserve">people </w:t>
      </w:r>
      <w:r w:rsidR="612C9F8B">
        <w:t>which has grown to more than 240 expert and committed individuals in 5 offices across Australia. We</w:t>
      </w:r>
      <w:r>
        <w:t xml:space="preserve"> will continue to invest in the welfare and </w:t>
      </w:r>
      <w:r w:rsidR="612C9F8B">
        <w:t>upskilling</w:t>
      </w:r>
      <w:r>
        <w:t xml:space="preserve"> of </w:t>
      </w:r>
      <w:r w:rsidR="612C9F8B">
        <w:t>our</w:t>
      </w:r>
      <w:r>
        <w:t xml:space="preserve"> staff</w:t>
      </w:r>
      <w:r w:rsidR="612C9F8B">
        <w:t xml:space="preserve"> in delivering the core work of the Commission</w:t>
      </w:r>
      <w:r w:rsidR="7DD9CFF4">
        <w:t xml:space="preserve"> in line with our performance measures</w:t>
      </w:r>
      <w:r>
        <w:t>.</w:t>
      </w:r>
    </w:p>
    <w:p w14:paraId="4E5E1B96" w14:textId="6756F14D" w:rsidR="008E6F6E" w:rsidRPr="006E62D9" w:rsidRDefault="008E6F6E" w:rsidP="00324F45">
      <w:r>
        <w:t xml:space="preserve">Our focus will </w:t>
      </w:r>
      <w:r w:rsidR="3D251CF0">
        <w:t>remain</w:t>
      </w:r>
      <w:r>
        <w:t xml:space="preserve"> on delivering our strategic and operational priorities effectively</w:t>
      </w:r>
      <w:r w:rsidR="137D7CE0">
        <w:t xml:space="preserve"> by</w:t>
      </w:r>
      <w:r w:rsidR="00E25D13">
        <w:t xml:space="preserve"> </w:t>
      </w:r>
      <w:r>
        <w:t xml:space="preserve">embedding systems </w:t>
      </w:r>
      <w:r w:rsidR="3B48AF1E">
        <w:t>that</w:t>
      </w:r>
      <w:r>
        <w:t xml:space="preserve"> support continuous improvement, </w:t>
      </w:r>
      <w:r w:rsidR="4B0FBDA1">
        <w:t>while</w:t>
      </w:r>
      <w:r>
        <w:t xml:space="preserve"> remaining responsive to ever-changing demands in a complex and challenging operating environment.</w:t>
      </w:r>
    </w:p>
    <w:p w14:paraId="49D5AEE4" w14:textId="567294E6" w:rsidR="002209C8" w:rsidRPr="00906A89" w:rsidRDefault="00587E0B" w:rsidP="00671E4B">
      <w:r w:rsidRPr="00906A89">
        <w:rPr>
          <w:noProof/>
        </w:rPr>
        <w:drawing>
          <wp:inline distT="0" distB="0" distL="0" distR="0" wp14:anchorId="7E535CE7" wp14:editId="6E9CB09B">
            <wp:extent cx="1713208" cy="864000"/>
            <wp:effectExtent l="0" t="0" r="1905" b="0"/>
            <wp:docPr id="2116166358" name="Picture 2" descr="Signature of Philip R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66358" name="Picture 2" descr="Signature of Philip Re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13208" cy="864000"/>
                    </a:xfrm>
                    <a:prstGeom prst="rect">
                      <a:avLst/>
                    </a:prstGeom>
                  </pic:spPr>
                </pic:pic>
              </a:graphicData>
            </a:graphic>
          </wp:inline>
        </w:drawing>
      </w:r>
    </w:p>
    <w:p w14:paraId="018A49BF" w14:textId="42EEF6BB" w:rsidR="002209C8" w:rsidRPr="00906A89" w:rsidRDefault="002209C8" w:rsidP="002209C8">
      <w:r w:rsidRPr="00227DC6">
        <w:rPr>
          <w:rFonts w:ascii="Work Sans SemiBold" w:hAnsi="Work Sans SemiBold"/>
        </w:rPr>
        <w:t>Philip Reed</w:t>
      </w:r>
      <w:r w:rsidRPr="00906A89">
        <w:br/>
        <w:t>Chief Executive Officer</w:t>
      </w:r>
    </w:p>
    <w:p w14:paraId="313BD52B" w14:textId="238615EF" w:rsidR="002209C8" w:rsidRPr="00906A89" w:rsidRDefault="002209C8" w:rsidP="003D3644">
      <w:pPr>
        <w:pStyle w:val="Heading1"/>
      </w:pPr>
      <w:bookmarkStart w:id="37" w:name="_Toc221793664"/>
      <w:bookmarkStart w:id="38" w:name="_Toc221793684"/>
      <w:bookmarkStart w:id="39" w:name="_Toc236917900"/>
      <w:r w:rsidRPr="00906A89">
        <w:lastRenderedPageBreak/>
        <w:t>Purpose</w:t>
      </w:r>
      <w:bookmarkEnd w:id="37"/>
      <w:bookmarkEnd w:id="38"/>
      <w:bookmarkEnd w:id="39"/>
    </w:p>
    <w:p w14:paraId="16E4E5CA" w14:textId="77777777" w:rsidR="00F575CC" w:rsidRDefault="003735B2" w:rsidP="00324F45">
      <w:r>
        <w:t>The National Anti‑Corruption Commission is an independent Commonwealth entity</w:t>
      </w:r>
      <w:r w:rsidR="001E189E">
        <w:t>,</w:t>
      </w:r>
      <w:r>
        <w:t xml:space="preserve"> established under the </w:t>
      </w:r>
      <w:r w:rsidRPr="16D7C4F1">
        <w:rPr>
          <w:i/>
          <w:iCs/>
        </w:rPr>
        <w:t>National Anti‑Corruption Commission Act 2022</w:t>
      </w:r>
      <w:r>
        <w:t xml:space="preserve"> </w:t>
      </w:r>
      <w:r w:rsidR="005E7532">
        <w:t xml:space="preserve">(Cth) </w:t>
      </w:r>
      <w:r>
        <w:t>(NACC</w:t>
      </w:r>
      <w:r w:rsidR="00AB7525">
        <w:t xml:space="preserve"> </w:t>
      </w:r>
      <w:r>
        <w:t>Act)</w:t>
      </w:r>
      <w:r w:rsidR="001E189E">
        <w:t>,</w:t>
      </w:r>
      <w:r w:rsidR="76BAEC78">
        <w:t xml:space="preserve"> </w:t>
      </w:r>
      <w:r w:rsidR="001E189E">
        <w:t xml:space="preserve">which </w:t>
      </w:r>
      <w:r w:rsidR="76BAEC78">
        <w:t>was</w:t>
      </w:r>
      <w:r w:rsidR="008E1F62">
        <w:t xml:space="preserve"> established</w:t>
      </w:r>
      <w:r w:rsidR="0067334A">
        <w:t xml:space="preserve"> to provide</w:t>
      </w:r>
      <w:r>
        <w:t xml:space="preserve"> independent assurance to the Australian community that corrupt conduct involving Commonwealth public officials is prevented, detected, investigated and responded to appropriately</w:t>
      </w:r>
      <w:r w:rsidR="2CA16EDB">
        <w:t>.</w:t>
      </w:r>
    </w:p>
    <w:p w14:paraId="6DF93B68" w14:textId="20C09370" w:rsidR="00A53953" w:rsidRDefault="2CA16EDB" w:rsidP="00324F45">
      <w:r>
        <w:t>Our mission is to enhance integrity in the Commonwealth</w:t>
      </w:r>
      <w:r w:rsidR="008B76D4">
        <w:t xml:space="preserve"> </w:t>
      </w:r>
      <w:r w:rsidR="1D6FB96B">
        <w:t>public sector by deterring, detecting and preventing corrupt conduct invol</w:t>
      </w:r>
      <w:r w:rsidR="492CECB6">
        <w:t>ving public officials</w:t>
      </w:r>
      <w:r w:rsidR="008B76D4">
        <w:t xml:space="preserve"> through</w:t>
      </w:r>
      <w:r w:rsidR="00737E06">
        <w:t xml:space="preserve"> education, monitoring, investigation, reporting and referral.</w:t>
      </w:r>
    </w:p>
    <w:p w14:paraId="0953486E" w14:textId="24E93433" w:rsidR="00E42D19" w:rsidRPr="002679AD" w:rsidRDefault="00E42D19" w:rsidP="00324F45">
      <w:r>
        <w:t>Under the NACC Act, the Commission can investigate alleged corrupt conduct involving Commonwealth public officials.</w:t>
      </w:r>
    </w:p>
    <w:p w14:paraId="51AD24CE" w14:textId="3A045647" w:rsidR="00E42D19" w:rsidRPr="002679AD" w:rsidRDefault="54617CA5" w:rsidP="00324F45">
      <w:r>
        <w:t>Public officials include parliamentarians (includi</w:t>
      </w:r>
      <w:r w:rsidR="31043FE0">
        <w:t>ng ministers</w:t>
      </w:r>
      <w:r w:rsidR="73C8AD63">
        <w:t>)</w:t>
      </w:r>
      <w:r w:rsidR="31043FE0">
        <w:t xml:space="preserve">, and staff members of Commonwealth agencies. Staff members of Commonwealth agencies include individuals employed by or engaged in </w:t>
      </w:r>
      <w:r w:rsidR="12BE6364">
        <w:t>assisting the agency, and individuals responsible for delivering goods or services to or on beh</w:t>
      </w:r>
      <w:r w:rsidR="5137BE54">
        <w:t>a</w:t>
      </w:r>
      <w:r w:rsidR="432B758D">
        <w:t>l</w:t>
      </w:r>
      <w:r w:rsidR="12BE6364">
        <w:t>f of the agency unde</w:t>
      </w:r>
      <w:r w:rsidR="6E291822">
        <w:t>r a Commonwealth contract administered by the agency</w:t>
      </w:r>
      <w:r w:rsidR="21631A83">
        <w:t xml:space="preserve">. </w:t>
      </w:r>
      <w:r w:rsidR="00E42D19">
        <w:t>Corrupt conduct is:</w:t>
      </w:r>
    </w:p>
    <w:p w14:paraId="7A69D5D0" w14:textId="5F8C17F7" w:rsidR="00E42D19" w:rsidRPr="005C7ECD" w:rsidRDefault="00E42D19" w:rsidP="00324F45">
      <w:pPr>
        <w:pStyle w:val="Bullet1"/>
      </w:pPr>
      <w:r w:rsidRPr="005C7ECD">
        <w:t xml:space="preserve">conduct by a public </w:t>
      </w:r>
      <w:r w:rsidRPr="00324F45">
        <w:t>official</w:t>
      </w:r>
      <w:r w:rsidRPr="005C7ECD">
        <w:t xml:space="preserve"> that involves a breach of public trust. This means a public official using a power or discretion for a purpose for which it was not conferred, typically a private purpose</w:t>
      </w:r>
      <w:r w:rsidR="00B22523" w:rsidRPr="005C7ECD">
        <w:t>.</w:t>
      </w:r>
    </w:p>
    <w:p w14:paraId="493C8ABE" w14:textId="1C804802" w:rsidR="00E42D19" w:rsidRPr="005C7ECD" w:rsidRDefault="00E42D19" w:rsidP="00324F45">
      <w:pPr>
        <w:pStyle w:val="Bullet1"/>
      </w:pPr>
      <w:r w:rsidRPr="005C7ECD">
        <w:t xml:space="preserve">conduct by a </w:t>
      </w:r>
      <w:r w:rsidRPr="00324F45">
        <w:t>public</w:t>
      </w:r>
      <w:r w:rsidRPr="005C7ECD">
        <w:t xml:space="preserve"> official that involves an abuse of office. This means a public official using their position to gain a private advantage</w:t>
      </w:r>
      <w:r w:rsidR="00B22523" w:rsidRPr="005C7ECD">
        <w:t>.</w:t>
      </w:r>
    </w:p>
    <w:p w14:paraId="32A3705E" w14:textId="00573013" w:rsidR="00E42D19" w:rsidRPr="005C7ECD" w:rsidRDefault="00E42D19" w:rsidP="00324F45">
      <w:pPr>
        <w:pStyle w:val="Bullet1"/>
      </w:pPr>
      <w:r w:rsidRPr="005C7ECD">
        <w:t xml:space="preserve">misuse of official information. This means a public official or former public official making </w:t>
      </w:r>
      <w:r w:rsidRPr="00324F45">
        <w:t>improper</w:t>
      </w:r>
      <w:r w:rsidRPr="005C7ECD">
        <w:t xml:space="preserve"> use of information they obtained in their official capacity</w:t>
      </w:r>
      <w:r w:rsidR="00B22523" w:rsidRPr="005C7ECD">
        <w:t>.</w:t>
      </w:r>
    </w:p>
    <w:p w14:paraId="431A9BB7" w14:textId="77777777" w:rsidR="00E42D19" w:rsidRPr="005C7ECD" w:rsidRDefault="00E42D19" w:rsidP="00324F45">
      <w:pPr>
        <w:pStyle w:val="Bullet1"/>
      </w:pPr>
      <w:r w:rsidRPr="005C7ECD">
        <w:t>conduct by anyone, including a public official, to cause a public official to perform their public functions other than honestly or impartially.</w:t>
      </w:r>
    </w:p>
    <w:p w14:paraId="4FDDCEF9" w14:textId="591375F1" w:rsidR="00E42D19" w:rsidRDefault="0B0AFD28" w:rsidP="00324F45">
      <w:r>
        <w:lastRenderedPageBreak/>
        <w:t>The Commission cannot investigate concerns relating to state, territory or local government officials. Each state and territory has a similar integrity or anti-corruption commission that may be able to investigate those matters.</w:t>
      </w:r>
    </w:p>
    <w:p w14:paraId="3AD51BE7" w14:textId="77777777" w:rsidR="00F575CC" w:rsidRDefault="0B0AFD28" w:rsidP="00324F45">
      <w:r>
        <w:t>The Commission is not a complaints-handling agency, nor an administrative decisions review authority. Making a referral to the Commission is not like making a referral to the Ombudsman or an application to the Administrative Reviews Tribunal</w:t>
      </w:r>
      <w:r w:rsidR="00B22523">
        <w:t>:</w:t>
      </w:r>
      <w:r>
        <w:t xml:space="preserve"> </w:t>
      </w:r>
      <w:proofErr w:type="gramStart"/>
      <w:r>
        <w:t>the</w:t>
      </w:r>
      <w:proofErr w:type="gramEnd"/>
      <w:r>
        <w:t xml:space="preserve"> Commission does not adjudicate on individual complaints.</w:t>
      </w:r>
    </w:p>
    <w:p w14:paraId="21AF67A8" w14:textId="412B7284" w:rsidR="0B0AFD28" w:rsidRDefault="0B0AFD28" w:rsidP="00324F45">
      <w:r>
        <w:t xml:space="preserve">Referrals to the Commission are not individual </w:t>
      </w:r>
      <w:r w:rsidDel="00A1756D">
        <w:t xml:space="preserve">initiating </w:t>
      </w:r>
      <w:r>
        <w:t xml:space="preserve">processes </w:t>
      </w:r>
      <w:r w:rsidDel="00A1756D">
        <w:t xml:space="preserve">on which </w:t>
      </w:r>
      <w:r>
        <w:t xml:space="preserve">a referrer </w:t>
      </w:r>
      <w:r w:rsidDel="00A1756D">
        <w:t xml:space="preserve">is entitled </w:t>
      </w:r>
      <w:r>
        <w:t>to an adjudication</w:t>
      </w:r>
      <w:r w:rsidDel="00173DE9">
        <w:t>,</w:t>
      </w:r>
      <w:r>
        <w:t xml:space="preserve"> </w:t>
      </w:r>
      <w:r w:rsidDel="00173DE9">
        <w:t xml:space="preserve">but </w:t>
      </w:r>
      <w:r>
        <w:t>a source of information that, with other information, can help the Commission identify and decide what it should investigate, and where it should focus</w:t>
      </w:r>
      <w:r w:rsidR="00F2009B">
        <w:t xml:space="preserve"> </w:t>
      </w:r>
      <w:r>
        <w:t>in the public interest</w:t>
      </w:r>
      <w:r w:rsidDel="00991ABA">
        <w:t>,</w:t>
      </w:r>
      <w:r>
        <w:t xml:space="preserve"> to have </w:t>
      </w:r>
      <w:r w:rsidDel="00F224B4">
        <w:t xml:space="preserve">the </w:t>
      </w:r>
      <w:r>
        <w:t>optimal impact in deterring and preventing corrupt conduct.</w:t>
      </w:r>
    </w:p>
    <w:p w14:paraId="340E7553" w14:textId="3142C717" w:rsidR="0B0AFD28" w:rsidRDefault="0B0AFD28" w:rsidP="00324F45">
      <w:r>
        <w:t>Often that means the Commission will focus on matters which are not and have not been the subject of investigation by other agencies, rather than those which have been</w:t>
      </w:r>
      <w:r w:rsidR="0036302F">
        <w:t xml:space="preserve">, </w:t>
      </w:r>
      <w:r>
        <w:t>or are</w:t>
      </w:r>
      <w:r w:rsidR="0036302F">
        <w:t>,</w:t>
      </w:r>
      <w:r>
        <w:t xml:space="preserve"> under investigation elsewhere.</w:t>
      </w:r>
    </w:p>
    <w:p w14:paraId="6ED4A5F3" w14:textId="77777777" w:rsidR="00E42D19" w:rsidRPr="002679AD" w:rsidRDefault="00E42D19" w:rsidP="00324F45">
      <w:r w:rsidRPr="002679AD">
        <w:t>To investigate a corruption issue, the Commission must have information raising the possibility that a person has done or could do something that:</w:t>
      </w:r>
    </w:p>
    <w:p w14:paraId="6EEF5FBF" w14:textId="77777777" w:rsidR="00E42D19" w:rsidRPr="00324F45" w:rsidRDefault="00E42D19" w:rsidP="00324F45">
      <w:pPr>
        <w:pStyle w:val="Bullet1"/>
      </w:pPr>
      <w:r w:rsidRPr="00324F45">
        <w:t>involves, or could involve, a public official</w:t>
      </w:r>
    </w:p>
    <w:p w14:paraId="703927FB" w14:textId="77777777" w:rsidR="00E42D19" w:rsidRPr="00324F45" w:rsidRDefault="00E42D19" w:rsidP="00324F45">
      <w:pPr>
        <w:pStyle w:val="Bullet1"/>
      </w:pPr>
      <w:r w:rsidRPr="00324F45">
        <w:t>is, or could be, corrupt conduct under the NACC Act</w:t>
      </w:r>
    </w:p>
    <w:p w14:paraId="5BBFC34A" w14:textId="77777777" w:rsidR="00E42D19" w:rsidRPr="00324F45" w:rsidRDefault="00E42D19" w:rsidP="00324F45">
      <w:pPr>
        <w:pStyle w:val="Bullet1"/>
      </w:pPr>
      <w:r w:rsidRPr="00324F45">
        <w:t>could involve serious or systemic corrupt conduct.</w:t>
      </w:r>
    </w:p>
    <w:p w14:paraId="66B3D881" w14:textId="6B79E1BC" w:rsidR="00E42D19" w:rsidRPr="002679AD" w:rsidRDefault="00E42D19" w:rsidP="00324F45">
      <w:r w:rsidRPr="002679AD">
        <w:t xml:space="preserve">The NACC Act does not define serious or systemic corrupt conduct. Under section 279 of the NACC Act, the Commission has issued guidance on </w:t>
      </w:r>
      <w:hyperlink r:id="rId24" w:history="1">
        <w:r w:rsidRPr="002679AD">
          <w:rPr>
            <w:rStyle w:val="Hyperlink"/>
          </w:rPr>
          <w:t>what is serious or systemic corrupt conduct</w:t>
        </w:r>
      </w:hyperlink>
      <w:r w:rsidRPr="002679AD">
        <w:t xml:space="preserve"> to assist public officials with the operation of the Act, </w:t>
      </w:r>
      <w:r w:rsidR="00B22523">
        <w:t xml:space="preserve">which is </w:t>
      </w:r>
      <w:r w:rsidRPr="002679AD">
        <w:t>available on the Commission website.</w:t>
      </w:r>
    </w:p>
    <w:p w14:paraId="1C85B8EA" w14:textId="77777777" w:rsidR="00E42D19" w:rsidRPr="002679AD" w:rsidRDefault="00E42D19" w:rsidP="00324F45">
      <w:r>
        <w:lastRenderedPageBreak/>
        <w:t xml:space="preserve">‘Serious’ means </w:t>
      </w:r>
      <w:r w:rsidRPr="00227DC6">
        <w:rPr>
          <w:rFonts w:ascii="Work Sans SemiBold" w:hAnsi="Work Sans SemiBold"/>
        </w:rPr>
        <w:t xml:space="preserve">significant, severe </w:t>
      </w:r>
      <w:r w:rsidRPr="006E4F97">
        <w:t>or</w:t>
      </w:r>
      <w:r w:rsidRPr="00227DC6">
        <w:rPr>
          <w:rFonts w:ascii="Work Sans SemiBold" w:hAnsi="Work Sans SemiBold"/>
        </w:rPr>
        <w:t xml:space="preserve"> grave</w:t>
      </w:r>
      <w:r>
        <w:t xml:space="preserve">. It relates to the </w:t>
      </w:r>
      <w:r w:rsidRPr="00227DC6">
        <w:rPr>
          <w:rFonts w:ascii="Work Sans SemiBold" w:hAnsi="Work Sans SemiBold"/>
        </w:rPr>
        <w:t xml:space="preserve">scale, impact </w:t>
      </w:r>
      <w:r w:rsidRPr="006E4F97">
        <w:t>and/or</w:t>
      </w:r>
      <w:r w:rsidRPr="00227DC6">
        <w:rPr>
          <w:rFonts w:ascii="Work Sans SemiBold" w:hAnsi="Work Sans SemiBold"/>
        </w:rPr>
        <w:t xml:space="preserve"> gravity </w:t>
      </w:r>
      <w:r>
        <w:t>of the conduct. Conduct that technically meets the definition of corrupt conduct but does not result in or risk significant harm or improper benefit is unlikely to be considered serious.</w:t>
      </w:r>
    </w:p>
    <w:p w14:paraId="511399A3" w14:textId="77777777" w:rsidR="00E42D19" w:rsidRPr="006E62D9" w:rsidRDefault="00E42D19" w:rsidP="00324F45">
      <w:pPr>
        <w:rPr>
          <w:lang w:eastAsia="en-AU"/>
        </w:rPr>
      </w:pPr>
      <w:r w:rsidRPr="006E62D9">
        <w:rPr>
          <w:lang w:eastAsia="en-AU"/>
        </w:rPr>
        <w:t>‘Systemic’ means ‘something that affects or relates to an entire system, organisation or body’.</w:t>
      </w:r>
    </w:p>
    <w:p w14:paraId="5C9C508D" w14:textId="69DA422D" w:rsidR="00CE13A2" w:rsidRDefault="00E42D19" w:rsidP="00324F45">
      <w:pPr>
        <w:rPr>
          <w:lang w:eastAsia="en-AU"/>
        </w:rPr>
      </w:pPr>
      <w:r w:rsidRPr="5B0BFF73">
        <w:rPr>
          <w:lang w:eastAsia="en-AU"/>
        </w:rPr>
        <w:t xml:space="preserve">‘Systemic corrupt conduct’ refers to conduct that is a </w:t>
      </w:r>
      <w:r w:rsidRPr="00227DC6">
        <w:rPr>
          <w:rFonts w:ascii="Work Sans SemiBold" w:hAnsi="Work Sans SemiBold"/>
          <w:lang w:eastAsia="en-AU"/>
        </w:rPr>
        <w:t>pattern of behaviour that relates to a process or agency</w:t>
      </w:r>
      <w:r w:rsidRPr="5B0BFF73">
        <w:rPr>
          <w:lang w:eastAsia="en-AU"/>
        </w:rPr>
        <w:t>. It refers to conduct that is the product of a process or system. Its hallmark is that there will be multiple instances, typically involving multiple officials, and that those instances reflect weaknesses or failures in a system.</w:t>
      </w:r>
      <w:r w:rsidR="00CE13A2">
        <w:rPr>
          <w:lang w:eastAsia="en-AU"/>
        </w:rPr>
        <w:br w:type="page"/>
      </w:r>
    </w:p>
    <w:p w14:paraId="0BF24906" w14:textId="11679FCB" w:rsidR="00F21CF7" w:rsidRPr="002679AD" w:rsidRDefault="00F21CF7" w:rsidP="007D2F5B">
      <w:pPr>
        <w:pStyle w:val="Heading2"/>
        <w:spacing w:before="360" w:after="240"/>
      </w:pPr>
      <w:r w:rsidRPr="00CE13A2">
        <w:lastRenderedPageBreak/>
        <w:t>Guiding</w:t>
      </w:r>
      <w:r>
        <w:t xml:space="preserve"> principles</w:t>
      </w:r>
    </w:p>
    <w:p w14:paraId="68E8101E" w14:textId="3691BB8E" w:rsidR="00F21CF7" w:rsidRPr="002679AD" w:rsidRDefault="00F21CF7" w:rsidP="00CE13A2">
      <w:r w:rsidRPr="002679AD">
        <w:t>Five guiding principles inform how the Commission operates and makes decisions.</w:t>
      </w:r>
    </w:p>
    <w:tbl>
      <w:tblPr>
        <w:tblW w:w="0" w:type="dxa"/>
        <w:tblBorders>
          <w:top w:val="single" w:sz="4" w:space="0" w:color="auto"/>
          <w:bottom w:val="single" w:sz="4" w:space="0" w:color="auto"/>
          <w:insideH w:val="single" w:sz="6" w:space="0" w:color="auto"/>
        </w:tblBorders>
        <w:tblCellMar>
          <w:left w:w="0" w:type="dxa"/>
          <w:right w:w="0" w:type="dxa"/>
        </w:tblCellMar>
        <w:tblLook w:val="04A0" w:firstRow="1" w:lastRow="0" w:firstColumn="1" w:lastColumn="0" w:noHBand="0" w:noVBand="1"/>
      </w:tblPr>
      <w:tblGrid>
        <w:gridCol w:w="2247"/>
        <w:gridCol w:w="6779"/>
      </w:tblGrid>
      <w:tr w:rsidR="00F21CF7" w:rsidRPr="003E22F6" w14:paraId="5F4C4D8B" w14:textId="77777777" w:rsidTr="00324F45">
        <w:trPr>
          <w:trHeight w:val="300"/>
        </w:trPr>
        <w:tc>
          <w:tcPr>
            <w:tcW w:w="2250" w:type="dxa"/>
            <w:hideMark/>
          </w:tcPr>
          <w:p w14:paraId="29BF3DCB" w14:textId="77777777" w:rsidR="00F21CF7" w:rsidRPr="002679AD" w:rsidRDefault="00F21CF7" w:rsidP="00324F45">
            <w:pPr>
              <w:pStyle w:val="Heading3"/>
              <w:spacing w:before="360" w:after="240" w:line="276" w:lineRule="auto"/>
            </w:pPr>
            <w:r w:rsidRPr="002679AD">
              <w:t>Independent</w:t>
            </w:r>
          </w:p>
        </w:tc>
        <w:tc>
          <w:tcPr>
            <w:tcW w:w="6795" w:type="dxa"/>
            <w:hideMark/>
          </w:tcPr>
          <w:p w14:paraId="28B267FE" w14:textId="3F78D205" w:rsidR="00F21CF7" w:rsidRPr="002679AD" w:rsidRDefault="00F21CF7" w:rsidP="00324F45">
            <w:pPr>
              <w:spacing w:line="276" w:lineRule="auto"/>
            </w:pPr>
            <w:r w:rsidRPr="002679AD">
              <w:t>The Commission operates independently of government and impartially</w:t>
            </w:r>
            <w:r w:rsidR="71D03308">
              <w:t>.</w:t>
            </w:r>
          </w:p>
        </w:tc>
      </w:tr>
      <w:tr w:rsidR="00F21CF7" w:rsidRPr="003E22F6" w14:paraId="0AF4E8B1" w14:textId="77777777" w:rsidTr="00324F45">
        <w:trPr>
          <w:trHeight w:val="300"/>
        </w:trPr>
        <w:tc>
          <w:tcPr>
            <w:tcW w:w="2250" w:type="dxa"/>
            <w:hideMark/>
          </w:tcPr>
          <w:p w14:paraId="0D47B846" w14:textId="1C565624" w:rsidR="00F21CF7" w:rsidRPr="002679AD" w:rsidRDefault="00F21CF7" w:rsidP="00324F45">
            <w:pPr>
              <w:pStyle w:val="Heading3"/>
              <w:spacing w:before="360" w:after="240" w:line="276" w:lineRule="auto"/>
            </w:pPr>
            <w:r w:rsidRPr="002679AD">
              <w:t>Value-adding</w:t>
            </w:r>
          </w:p>
        </w:tc>
        <w:tc>
          <w:tcPr>
            <w:tcW w:w="6795" w:type="dxa"/>
            <w:hideMark/>
          </w:tcPr>
          <w:p w14:paraId="137502B0" w14:textId="77777777" w:rsidR="00F21CF7" w:rsidRPr="002679AD" w:rsidRDefault="00F21CF7" w:rsidP="00324F45">
            <w:pPr>
              <w:spacing w:line="276" w:lineRule="auto"/>
            </w:pPr>
            <w:r w:rsidRPr="002679AD">
              <w:t>The Commission focuses on matters where it is best positioned to add value in the public interest by deterring or preventing corruption in circumstances where other agencies are less well-equipped to do so. This means the Commission is less likely to investigate a matter if another agency has already addressed it or is well-equipped to do so.</w:t>
            </w:r>
          </w:p>
        </w:tc>
      </w:tr>
      <w:tr w:rsidR="00F21CF7" w:rsidRPr="003E22F6" w14:paraId="4450188D" w14:textId="77777777" w:rsidTr="00324F45">
        <w:trPr>
          <w:trHeight w:val="300"/>
        </w:trPr>
        <w:tc>
          <w:tcPr>
            <w:tcW w:w="2250" w:type="dxa"/>
            <w:hideMark/>
          </w:tcPr>
          <w:p w14:paraId="708F7E1A" w14:textId="58FDD161" w:rsidR="00F21CF7" w:rsidRPr="002679AD" w:rsidRDefault="00F21CF7" w:rsidP="00324F45">
            <w:pPr>
              <w:pStyle w:val="Heading3"/>
              <w:spacing w:before="360" w:after="240" w:line="276" w:lineRule="auto"/>
            </w:pPr>
            <w:r w:rsidRPr="002679AD">
              <w:t>Evidence-based</w:t>
            </w:r>
          </w:p>
        </w:tc>
        <w:tc>
          <w:tcPr>
            <w:tcW w:w="6795" w:type="dxa"/>
            <w:hideMark/>
          </w:tcPr>
          <w:p w14:paraId="4BE5A74D" w14:textId="5C372A90" w:rsidR="00F21CF7" w:rsidRPr="002679AD" w:rsidRDefault="00F21CF7" w:rsidP="00324F45">
            <w:pPr>
              <w:spacing w:line="276" w:lineRule="auto"/>
            </w:pPr>
            <w:r w:rsidRPr="002679AD">
              <w:t xml:space="preserve">The Commission </w:t>
            </w:r>
            <w:r w:rsidR="00866C31">
              <w:t>uses evidence to make its decisions, findings and recommendations</w:t>
            </w:r>
            <w:r w:rsidRPr="00866C31">
              <w:t>.</w:t>
            </w:r>
          </w:p>
        </w:tc>
      </w:tr>
      <w:tr w:rsidR="00F21CF7" w:rsidRPr="003E22F6" w14:paraId="3B53747B" w14:textId="77777777" w:rsidTr="00324F45">
        <w:trPr>
          <w:trHeight w:val="300"/>
        </w:trPr>
        <w:tc>
          <w:tcPr>
            <w:tcW w:w="2250" w:type="dxa"/>
            <w:hideMark/>
          </w:tcPr>
          <w:p w14:paraId="4FCAC26C" w14:textId="51867B5C" w:rsidR="00F21CF7" w:rsidRPr="002679AD" w:rsidRDefault="00F21CF7" w:rsidP="00324F45">
            <w:pPr>
              <w:pStyle w:val="Heading3"/>
              <w:spacing w:before="360" w:after="240" w:line="276" w:lineRule="auto"/>
            </w:pPr>
            <w:r w:rsidRPr="002679AD">
              <w:t>Data driven</w:t>
            </w:r>
          </w:p>
        </w:tc>
        <w:tc>
          <w:tcPr>
            <w:tcW w:w="6795" w:type="dxa"/>
            <w:hideMark/>
          </w:tcPr>
          <w:p w14:paraId="5980C005" w14:textId="096DEBDA" w:rsidR="00F21CF7" w:rsidRPr="006E62D9" w:rsidRDefault="00F21CF7" w:rsidP="00324F45">
            <w:pPr>
              <w:spacing w:line="276" w:lineRule="auto"/>
            </w:pPr>
            <w:r w:rsidRPr="002679AD">
              <w:t>The Commission is informed by data. This means the Commission uses data to form insights and identify current trends and emerging risks and issues.</w:t>
            </w:r>
          </w:p>
        </w:tc>
      </w:tr>
      <w:tr w:rsidR="00F21CF7" w:rsidRPr="003E22F6" w14:paraId="266046F5" w14:textId="77777777" w:rsidTr="00324F45">
        <w:trPr>
          <w:trHeight w:val="300"/>
        </w:trPr>
        <w:tc>
          <w:tcPr>
            <w:tcW w:w="2250" w:type="dxa"/>
            <w:hideMark/>
          </w:tcPr>
          <w:p w14:paraId="0BA86568" w14:textId="2A7AAF12" w:rsidR="00F21CF7" w:rsidRPr="002679AD" w:rsidRDefault="00F21CF7" w:rsidP="00324F45">
            <w:pPr>
              <w:pStyle w:val="Heading3"/>
              <w:spacing w:before="360" w:after="240" w:line="276" w:lineRule="auto"/>
            </w:pPr>
            <w:r w:rsidRPr="002679AD">
              <w:t>People focused</w:t>
            </w:r>
          </w:p>
        </w:tc>
        <w:tc>
          <w:tcPr>
            <w:tcW w:w="6795" w:type="dxa"/>
            <w:hideMark/>
          </w:tcPr>
          <w:p w14:paraId="56470EA3" w14:textId="5BBEF8AD" w:rsidR="00F21CF7" w:rsidRPr="002679AD" w:rsidRDefault="00F21CF7" w:rsidP="00324F45">
            <w:pPr>
              <w:spacing w:line="276" w:lineRule="auto"/>
            </w:pPr>
            <w:r w:rsidRPr="002679AD">
              <w:t>The Commission cares for people:</w:t>
            </w:r>
            <w:r w:rsidR="00F575CC">
              <w:t xml:space="preserve"> </w:t>
            </w:r>
            <w:r w:rsidR="394E10A4">
              <w:t>we have duties to care for our</w:t>
            </w:r>
            <w:r w:rsidRPr="002679AD">
              <w:t xml:space="preserve"> staff, </w:t>
            </w:r>
            <w:proofErr w:type="gramStart"/>
            <w:r w:rsidR="6C371794">
              <w:t>and</w:t>
            </w:r>
            <w:r w:rsidRPr="002679AD">
              <w:t xml:space="preserve"> also</w:t>
            </w:r>
            <w:proofErr w:type="gramEnd"/>
            <w:r w:rsidRPr="002679AD">
              <w:t xml:space="preserve"> those who engage with it and are affected by its operations. This means the Commission invests in and cares for its workforce to ensure they have the skills, knowledge and capability to succeed.</w:t>
            </w:r>
          </w:p>
          <w:p w14:paraId="7F096478" w14:textId="77777777" w:rsidR="00F21CF7" w:rsidRPr="002679AD" w:rsidRDefault="00F21CF7" w:rsidP="00324F45">
            <w:pPr>
              <w:spacing w:line="276" w:lineRule="auto"/>
            </w:pPr>
            <w:r w:rsidRPr="002679AD">
              <w:t>It also means the Commission endeavours to mitigate the inevitable distress that individuals dealing with or affected by its operations may sometimes experience.</w:t>
            </w:r>
          </w:p>
        </w:tc>
      </w:tr>
    </w:tbl>
    <w:p w14:paraId="275DEA73" w14:textId="77777777" w:rsidR="00353BD7" w:rsidRPr="002679AD" w:rsidRDefault="00353BD7" w:rsidP="00CE13A2">
      <w:pPr>
        <w:pStyle w:val="Heading1"/>
      </w:pPr>
      <w:bookmarkStart w:id="40" w:name="_Toc236917901"/>
      <w:r w:rsidRPr="002679AD">
        <w:lastRenderedPageBreak/>
        <w:t xml:space="preserve">Key </w:t>
      </w:r>
      <w:r w:rsidRPr="00CE13A2">
        <w:t>activities</w:t>
      </w:r>
      <w:bookmarkEnd w:id="40"/>
    </w:p>
    <w:p w14:paraId="675A0619" w14:textId="67897798" w:rsidR="007163A5" w:rsidRPr="002679AD" w:rsidRDefault="00104817" w:rsidP="00CE13A2">
      <w:pPr>
        <w:pStyle w:val="Heading2"/>
        <w:spacing w:before="360" w:after="240"/>
      </w:pPr>
      <w:bookmarkStart w:id="41" w:name="_Strategic_corruption_priorities"/>
      <w:bookmarkStart w:id="42" w:name="_Toc236917902"/>
      <w:bookmarkStart w:id="43" w:name="_Toc221793665"/>
      <w:bookmarkStart w:id="44" w:name="_Toc221793685"/>
      <w:bookmarkEnd w:id="41"/>
      <w:r>
        <w:t>Areas</w:t>
      </w:r>
      <w:r w:rsidR="007163A5" w:rsidRPr="002679AD">
        <w:t xml:space="preserve"> of </w:t>
      </w:r>
      <w:r w:rsidR="00AF08FC" w:rsidRPr="00CE13A2">
        <w:t>o</w:t>
      </w:r>
      <w:r w:rsidR="007163A5" w:rsidRPr="00CE13A2">
        <w:t>peration</w:t>
      </w:r>
      <w:bookmarkEnd w:id="42"/>
    </w:p>
    <w:p w14:paraId="03A8E1FA" w14:textId="3AF9F74E" w:rsidR="007163A5" w:rsidRPr="002679AD" w:rsidRDefault="007163A5" w:rsidP="007163A5">
      <w:r w:rsidRPr="002679AD">
        <w:t xml:space="preserve">To achieve its purpose and execute its mission, the Commission has 2 </w:t>
      </w:r>
      <w:r w:rsidR="00866C31">
        <w:t>areas of</w:t>
      </w:r>
      <w:r w:rsidRPr="00866C31">
        <w:t xml:space="preserve"> operation</w:t>
      </w:r>
      <w:r w:rsidRPr="002679AD">
        <w:t>. These are:</w:t>
      </w:r>
    </w:p>
    <w:p w14:paraId="00F1DC5C" w14:textId="77777777" w:rsidR="007163A5" w:rsidRPr="00CE13A2" w:rsidRDefault="007163A5" w:rsidP="00CE13A2">
      <w:pPr>
        <w:pStyle w:val="ListParagraph"/>
        <w:numPr>
          <w:ilvl w:val="0"/>
          <w:numId w:val="17"/>
        </w:numPr>
      </w:pPr>
      <w:r w:rsidRPr="00CE13A2">
        <w:t>deterrence through detection, investigation and exposure</w:t>
      </w:r>
    </w:p>
    <w:p w14:paraId="599F7329" w14:textId="77777777" w:rsidR="007163A5" w:rsidRPr="00CE13A2" w:rsidRDefault="007163A5" w:rsidP="00CE13A2">
      <w:pPr>
        <w:pStyle w:val="ListParagraph"/>
      </w:pPr>
      <w:r w:rsidRPr="00CE13A2">
        <w:t>prevention through engagement and education.</w:t>
      </w:r>
    </w:p>
    <w:p w14:paraId="5511DF82" w14:textId="29AFE315" w:rsidR="007163A5" w:rsidRPr="002679AD" w:rsidRDefault="007163A5" w:rsidP="007163A5">
      <w:r w:rsidRPr="00866C31">
        <w:t xml:space="preserve">These </w:t>
      </w:r>
      <w:r w:rsidR="00866C31">
        <w:t xml:space="preserve">areas </w:t>
      </w:r>
      <w:r w:rsidRPr="00866C31">
        <w:t>of operation</w:t>
      </w:r>
      <w:r>
        <w:t xml:space="preserve"> are reflected in the Commission's 5 key activities included in the Portfolio Budget Statements 2026-27 and as follows:</w:t>
      </w:r>
    </w:p>
    <w:p w14:paraId="57F67CC3" w14:textId="29446DBB" w:rsidR="00F575CC" w:rsidRDefault="5DD94576" w:rsidP="00CE13A2">
      <w:pPr>
        <w:pStyle w:val="ListParagraph"/>
        <w:numPr>
          <w:ilvl w:val="0"/>
          <w:numId w:val="19"/>
        </w:numPr>
      </w:pPr>
      <w:r w:rsidRPr="16D7C4F1">
        <w:t>Detecting corruption and enhancing the Commonwealth public sector’s capabilities to detect corruption.</w:t>
      </w:r>
    </w:p>
    <w:p w14:paraId="5B2B1608" w14:textId="57959A0B" w:rsidR="00F575CC" w:rsidRDefault="5DD94576" w:rsidP="00CE13A2">
      <w:pPr>
        <w:pStyle w:val="ListParagraph"/>
      </w:pPr>
      <w:r w:rsidRPr="16D7C4F1">
        <w:t>Receiving and assessing referrals of alleged corrupt conduct.</w:t>
      </w:r>
    </w:p>
    <w:p w14:paraId="4CF02138" w14:textId="22836172" w:rsidR="00F575CC" w:rsidRDefault="5DD94576" w:rsidP="00CE13A2">
      <w:pPr>
        <w:pStyle w:val="ListParagraph"/>
      </w:pPr>
      <w:r w:rsidRPr="16D7C4F1">
        <w:t>Conducting NACC investigations into corruption issues that could involve serious or systemic corrupt conduct. These investigations may be undertaken jointly with other Commonwealth agencies or with state or territory agencies.</w:t>
      </w:r>
    </w:p>
    <w:p w14:paraId="7ABBFB25" w14:textId="62497793" w:rsidR="00F575CC" w:rsidRDefault="5DD94576" w:rsidP="00CE13A2">
      <w:pPr>
        <w:pStyle w:val="ListParagraph"/>
      </w:pPr>
      <w:r w:rsidRPr="16D7C4F1">
        <w:t>Referring allegations of corrupt conduct to other Commonwealth agencies for investigation.</w:t>
      </w:r>
    </w:p>
    <w:p w14:paraId="3AE03812" w14:textId="2DDDFBF6" w:rsidR="5DD94576" w:rsidRDefault="5DD94576" w:rsidP="00CE13A2">
      <w:pPr>
        <w:pStyle w:val="ListParagraph"/>
      </w:pPr>
      <w:r w:rsidRPr="16D7C4F1">
        <w:t>Creating and disseminating information and education to enhance the effectiveness and maturity of approaches to corruption prevention and build a strong integrity culture across the public sector.</w:t>
      </w:r>
    </w:p>
    <w:p w14:paraId="62C50B96" w14:textId="7BD0330F" w:rsidR="00E57B84" w:rsidRPr="006E62D9" w:rsidRDefault="005225DF" w:rsidP="00E57B84">
      <w:pPr>
        <w:pStyle w:val="Heading2"/>
        <w:spacing w:before="360" w:after="240"/>
      </w:pPr>
      <w:bookmarkStart w:id="45" w:name="_Toc236917903"/>
      <w:bookmarkEnd w:id="43"/>
      <w:bookmarkEnd w:id="44"/>
      <w:r>
        <w:t>Detecting corruption</w:t>
      </w:r>
      <w:bookmarkEnd w:id="45"/>
    </w:p>
    <w:p w14:paraId="6CCCC8E6" w14:textId="47C16ED0" w:rsidR="00414116" w:rsidRPr="002679AD" w:rsidRDefault="00414116" w:rsidP="00414116">
      <w:r w:rsidRPr="002679AD">
        <w:t>The Commission detects corruption through a variety of methods, including:</w:t>
      </w:r>
    </w:p>
    <w:p w14:paraId="07440396" w14:textId="77777777" w:rsidR="00414116" w:rsidRPr="00CE13A2" w:rsidRDefault="00414116" w:rsidP="00CE13A2">
      <w:pPr>
        <w:pStyle w:val="Bullet1"/>
      </w:pPr>
      <w:r w:rsidRPr="00CE13A2">
        <w:t>voluntary referrals made through the Commission’s webform, by phone or by post</w:t>
      </w:r>
    </w:p>
    <w:p w14:paraId="574A57D9" w14:textId="77777777" w:rsidR="00414116" w:rsidRPr="00CE13A2" w:rsidRDefault="00414116" w:rsidP="00CE13A2">
      <w:pPr>
        <w:pStyle w:val="Bullet1"/>
      </w:pPr>
      <w:r w:rsidRPr="00CE13A2">
        <w:lastRenderedPageBreak/>
        <w:t>mandatory referrals from agency heads who become aware of a corruption issue concerning a staff member of their agency which could involve serious or systemic corrupt conduct</w:t>
      </w:r>
    </w:p>
    <w:p w14:paraId="5A190F2D" w14:textId="77777777" w:rsidR="00414116" w:rsidRPr="00CE13A2" w:rsidRDefault="00414116" w:rsidP="00CE13A2">
      <w:pPr>
        <w:pStyle w:val="Bullet1"/>
      </w:pPr>
      <w:r w:rsidRPr="00CE13A2">
        <w:t>information received by the Commission in other ways (including media reports)</w:t>
      </w:r>
    </w:p>
    <w:p w14:paraId="0E68080B" w14:textId="77777777" w:rsidR="00414116" w:rsidRPr="00CE13A2" w:rsidRDefault="00414116" w:rsidP="00CE13A2">
      <w:pPr>
        <w:pStyle w:val="Bullet1"/>
      </w:pPr>
      <w:r w:rsidRPr="00CE13A2">
        <w:t>strategic intelligence and data analysis by the Commission</w:t>
      </w:r>
    </w:p>
    <w:p w14:paraId="4809478A" w14:textId="77777777" w:rsidR="00414116" w:rsidRPr="00CE13A2" w:rsidRDefault="00414116" w:rsidP="00CE13A2">
      <w:pPr>
        <w:pStyle w:val="Bullet1"/>
      </w:pPr>
      <w:r w:rsidRPr="00CE13A2">
        <w:t>information obtained during a Commission investigation that identifies another corruption issue.</w:t>
      </w:r>
    </w:p>
    <w:p w14:paraId="2103E7F8" w14:textId="77777777" w:rsidR="00F575CC" w:rsidRDefault="00414116" w:rsidP="00324F45">
      <w:r>
        <w:t xml:space="preserve">The </w:t>
      </w:r>
      <w:r w:rsidR="676B3864">
        <w:t>Commission</w:t>
      </w:r>
      <w:r w:rsidR="1C746F2C">
        <w:t>’s</w:t>
      </w:r>
      <w:r w:rsidR="676B3864">
        <w:t xml:space="preserve"> </w:t>
      </w:r>
      <w:r w:rsidR="58D11E91">
        <w:t xml:space="preserve">detection work </w:t>
      </w:r>
      <w:r w:rsidR="570534B7">
        <w:t xml:space="preserve">includes proactive </w:t>
      </w:r>
      <w:r w:rsidR="14DD8F4A">
        <w:t xml:space="preserve">initiatives that seek to identify corrupt conduct that would otherwise remain </w:t>
      </w:r>
      <w:r w:rsidR="656D597A">
        <w:t>hidden. This work, informed by our strategic</w:t>
      </w:r>
      <w:r w:rsidR="00A767ED">
        <w:t xml:space="preserve"> corruption</w:t>
      </w:r>
      <w:r w:rsidR="656D597A">
        <w:t xml:space="preserve"> priorities, targets </w:t>
      </w:r>
      <w:r w:rsidR="2EC26CD1">
        <w:t>the most significant corruption issues within the Commission’s jurisdiction.</w:t>
      </w:r>
    </w:p>
    <w:p w14:paraId="270A6628" w14:textId="09D3E4F9" w:rsidR="00414116" w:rsidRPr="002679AD" w:rsidRDefault="2EC26CD1" w:rsidP="00324F45">
      <w:r>
        <w:t xml:space="preserve">As well as </w:t>
      </w:r>
      <w:r w:rsidRPr="00CE13A2">
        <w:t>informing</w:t>
      </w:r>
      <w:r>
        <w:t xml:space="preserve"> investigations</w:t>
      </w:r>
      <w:r w:rsidR="6A1A1302">
        <w:t xml:space="preserve">, these detection </w:t>
      </w:r>
      <w:r w:rsidR="00B15898">
        <w:t>initiatives</w:t>
      </w:r>
      <w:r w:rsidR="6A1A1302">
        <w:t xml:space="preserve"> support corruption prevention work</w:t>
      </w:r>
      <w:r w:rsidR="00FC2D36">
        <w:t xml:space="preserve">. They </w:t>
      </w:r>
      <w:r w:rsidR="6A1A1302">
        <w:t>identify</w:t>
      </w:r>
      <w:r w:rsidR="00FC2D36">
        <w:t xml:space="preserve"> </w:t>
      </w:r>
      <w:r w:rsidR="6A1A1302">
        <w:t xml:space="preserve">vulnerabilities the </w:t>
      </w:r>
      <w:r w:rsidR="00414116">
        <w:t xml:space="preserve">Commission </w:t>
      </w:r>
      <w:r w:rsidR="00FC2D36">
        <w:t xml:space="preserve">can </w:t>
      </w:r>
      <w:r w:rsidR="00220BBC">
        <w:t>address and</w:t>
      </w:r>
      <w:r w:rsidR="00FC2D36">
        <w:t xml:space="preserve"> </w:t>
      </w:r>
      <w:r w:rsidR="7EF46B9B">
        <w:t xml:space="preserve">inform strategies that can be </w:t>
      </w:r>
      <w:r w:rsidR="6A1A1302">
        <w:t xml:space="preserve">shared with </w:t>
      </w:r>
      <w:r w:rsidR="009E17F5">
        <w:t xml:space="preserve">other </w:t>
      </w:r>
      <w:r w:rsidR="09D9D874">
        <w:t>agencies.</w:t>
      </w:r>
    </w:p>
    <w:p w14:paraId="5318D205" w14:textId="708E3222" w:rsidR="002209C8" w:rsidRPr="002679AD" w:rsidRDefault="002209C8" w:rsidP="00324F45">
      <w:pPr>
        <w:pStyle w:val="Heading2"/>
        <w:spacing w:before="360" w:after="240"/>
      </w:pPr>
      <w:bookmarkStart w:id="46" w:name="_Toc221793667"/>
      <w:bookmarkStart w:id="47" w:name="_Toc221793687"/>
      <w:bookmarkStart w:id="48" w:name="_Toc236917904"/>
      <w:r w:rsidRPr="00CE13A2">
        <w:t>Receiving</w:t>
      </w:r>
      <w:r>
        <w:t xml:space="preserve"> and assessing </w:t>
      </w:r>
      <w:r w:rsidRPr="00324F45">
        <w:t>referrals</w:t>
      </w:r>
      <w:bookmarkEnd w:id="46"/>
      <w:bookmarkEnd w:id="47"/>
      <w:bookmarkEnd w:id="48"/>
    </w:p>
    <w:p w14:paraId="7168DEC1" w14:textId="53D9E87A" w:rsidR="0081673F" w:rsidRPr="002679AD" w:rsidRDefault="0081673F" w:rsidP="00324F45">
      <w:r w:rsidRPr="002679AD">
        <w:t>The Commission assesses referrals to ascertain whether they are within jurisdiction (that is, they relate to a Commonwealth public official), whether they appear to raise a corruption issue, whether they could involve serious or systemic corrupt conduct, and if so whether and how to deal with them.</w:t>
      </w:r>
    </w:p>
    <w:p w14:paraId="082CCACA" w14:textId="77777777" w:rsidR="00F575CC" w:rsidRDefault="0081673F" w:rsidP="00324F45">
      <w:r w:rsidRPr="002679AD">
        <w:t>The Commission may seek further information in relation to a referral, including from the person who made the referral</w:t>
      </w:r>
      <w:r w:rsidR="007F731D" w:rsidRPr="002679AD">
        <w:t xml:space="preserve">, </w:t>
      </w:r>
      <w:r w:rsidR="009A2223" w:rsidRPr="002679AD">
        <w:t>agencies that may hold relevant material or open-source material</w:t>
      </w:r>
      <w:r w:rsidRPr="002679AD">
        <w:t>.</w:t>
      </w:r>
    </w:p>
    <w:p w14:paraId="4B250458" w14:textId="6BBB36A8" w:rsidR="0081673F" w:rsidRPr="002679AD" w:rsidRDefault="0081673F" w:rsidP="00606532">
      <w:r w:rsidRPr="002679AD">
        <w:lastRenderedPageBreak/>
        <w:t>The Commission can decide not to take any action in relation to a referral. The Commission does not have to consider or respond to every referral it receives. However, as a matter of courtesy, the Commission usually provides a response to each person who makes a referral, if they provide contact details.</w:t>
      </w:r>
    </w:p>
    <w:p w14:paraId="41FDFB8B" w14:textId="0A7124EC" w:rsidR="00434B9B" w:rsidRPr="002679AD" w:rsidRDefault="00434B9B" w:rsidP="00606532">
      <w:r>
        <w:t>If a referral raises a corruption issue, the Commission may deal with it in one or more of the following ways:</w:t>
      </w:r>
    </w:p>
    <w:p w14:paraId="47A7CE76" w14:textId="77777777" w:rsidR="00434B9B" w:rsidRPr="00606532" w:rsidRDefault="00434B9B" w:rsidP="00606532">
      <w:pPr>
        <w:pStyle w:val="Bullet1"/>
      </w:pPr>
      <w:r w:rsidRPr="00606532">
        <w:t>if the issue could involve serious or systemic corrupt conduct, investigate the issue alone or jointly with a Commonwealth agency or a state or territory government entity</w:t>
      </w:r>
    </w:p>
    <w:p w14:paraId="0BA867A0" w14:textId="77777777" w:rsidR="00434B9B" w:rsidRPr="00606532" w:rsidRDefault="00434B9B" w:rsidP="00606532">
      <w:pPr>
        <w:pStyle w:val="Bullet1"/>
      </w:pPr>
      <w:r w:rsidRPr="00606532">
        <w:t>refer the issue to the Commonwealth agency the issue relates to for them to investigate</w:t>
      </w:r>
    </w:p>
    <w:p w14:paraId="569C2809" w14:textId="77777777" w:rsidR="00434B9B" w:rsidRPr="00606532" w:rsidRDefault="00434B9B" w:rsidP="00606532">
      <w:pPr>
        <w:pStyle w:val="Bullet1"/>
      </w:pPr>
      <w:r w:rsidRPr="00606532">
        <w:t>refer the issue to a Commonwealth agency or state or territory government entity for them to consider</w:t>
      </w:r>
    </w:p>
    <w:p w14:paraId="3FB8C2FA" w14:textId="77777777" w:rsidR="00434B9B" w:rsidRPr="00606532" w:rsidRDefault="00434B9B" w:rsidP="00606532">
      <w:pPr>
        <w:pStyle w:val="Bullet1"/>
      </w:pPr>
      <w:r w:rsidRPr="00606532">
        <w:t>take no action.</w:t>
      </w:r>
    </w:p>
    <w:p w14:paraId="26A56E3E" w14:textId="60232F4A" w:rsidR="00434B9B" w:rsidRPr="002679AD" w:rsidRDefault="00D345D1" w:rsidP="00606532">
      <w:r>
        <w:t>In addition, t</w:t>
      </w:r>
      <w:r w:rsidR="00434B9B">
        <w:t>he Commissioner may, at any time, reconsider whether or how to deal with a corruption issue.</w:t>
      </w:r>
    </w:p>
    <w:p w14:paraId="0440A03F" w14:textId="77777777" w:rsidR="17A027EF" w:rsidRDefault="17A027EF" w:rsidP="00606532">
      <w:pPr>
        <w:pStyle w:val="Heading3"/>
        <w:spacing w:before="360" w:after="240"/>
      </w:pPr>
      <w:r>
        <w:t xml:space="preserve">Preliminary </w:t>
      </w:r>
      <w:r w:rsidRPr="00606532">
        <w:t>investigations</w:t>
      </w:r>
    </w:p>
    <w:p w14:paraId="02552210" w14:textId="1F87695B" w:rsidR="17A027EF" w:rsidRDefault="17A027EF" w:rsidP="00606532">
      <w:r>
        <w:t>The Commissioner may conduct a preliminary investigation to decide:</w:t>
      </w:r>
    </w:p>
    <w:p w14:paraId="259788F6" w14:textId="77777777" w:rsidR="17A027EF" w:rsidRPr="00606532" w:rsidRDefault="17A027EF" w:rsidP="00606532">
      <w:pPr>
        <w:pStyle w:val="Bullet1"/>
      </w:pPr>
      <w:r w:rsidRPr="00606532">
        <w:t>whether a referral raises a corruption issue, including whether it is serious or systemic</w:t>
      </w:r>
    </w:p>
    <w:p w14:paraId="57BCA3F6" w14:textId="1A3ACD80" w:rsidR="17A027EF" w:rsidRPr="00606532" w:rsidRDefault="17A027EF" w:rsidP="00606532">
      <w:pPr>
        <w:pStyle w:val="Bullet1"/>
      </w:pPr>
      <w:r w:rsidRPr="00606532">
        <w:t>and if so, whether or how to deal with the issue.</w:t>
      </w:r>
    </w:p>
    <w:p w14:paraId="6D1C8885" w14:textId="2C9408E4" w:rsidR="17A027EF" w:rsidRDefault="17A027EF" w:rsidP="00606532">
      <w:r>
        <w:lastRenderedPageBreak/>
        <w:t>A preliminary investigation helps the Commission find out more information about the referral as part of the assessment process. The Commission can use some of its investigatory powers under the NACC Act in a preliminary investigation, such as the compulsory provision of information, documents or materials.</w:t>
      </w:r>
    </w:p>
    <w:p w14:paraId="110E5780" w14:textId="353614F8" w:rsidR="002209C8" w:rsidRPr="002679AD" w:rsidRDefault="002209C8" w:rsidP="00606532">
      <w:pPr>
        <w:pStyle w:val="Heading2"/>
        <w:spacing w:before="360" w:after="240"/>
      </w:pPr>
      <w:bookmarkStart w:id="49" w:name="_Toc221793668"/>
      <w:bookmarkStart w:id="50" w:name="_Toc221793688"/>
      <w:bookmarkStart w:id="51" w:name="_Toc236917905"/>
      <w:r>
        <w:t xml:space="preserve">Conducting </w:t>
      </w:r>
      <w:r w:rsidRPr="00606532">
        <w:t>investi</w:t>
      </w:r>
      <w:r w:rsidR="00C96758" w:rsidRPr="00606532">
        <w:t>g</w:t>
      </w:r>
      <w:r w:rsidRPr="00606532">
        <w:t>ations</w:t>
      </w:r>
      <w:bookmarkEnd w:id="49"/>
      <w:bookmarkEnd w:id="50"/>
      <w:bookmarkEnd w:id="51"/>
    </w:p>
    <w:p w14:paraId="2CD9B5C9" w14:textId="6F33A998" w:rsidR="0081673F" w:rsidRPr="002679AD" w:rsidRDefault="0081673F" w:rsidP="00606532">
      <w:r w:rsidRPr="002679AD">
        <w:t>The Commission’s investigation teams investigate corruption issues and gather information to prove or disprove them. They do this by obtaining documents and records, analysing information and interviewing witnesses.</w:t>
      </w:r>
      <w:r w:rsidR="006A5C02" w:rsidRPr="002679AD">
        <w:t xml:space="preserve"> </w:t>
      </w:r>
      <w:r w:rsidR="0048294D" w:rsidRPr="002679AD">
        <w:t>Investigations</w:t>
      </w:r>
      <w:r w:rsidR="006A5C02" w:rsidRPr="002679AD">
        <w:t xml:space="preserve"> can be undertaken </w:t>
      </w:r>
      <w:r w:rsidR="0048294D" w:rsidRPr="002679AD">
        <w:t xml:space="preserve">solely by the Commission, or </w:t>
      </w:r>
      <w:r w:rsidR="006A5C02" w:rsidRPr="002679AD">
        <w:t>jointly with another Commonwealth or state or territory government agency</w:t>
      </w:r>
      <w:r w:rsidR="0048294D" w:rsidRPr="002679AD">
        <w:t>.</w:t>
      </w:r>
    </w:p>
    <w:p w14:paraId="371FAE2C" w14:textId="69E0EE57" w:rsidR="0081673F" w:rsidRPr="002679AD" w:rsidRDefault="0081673F" w:rsidP="00606532">
      <w:r w:rsidRPr="002679AD">
        <w:t>The Commission has extensive information-gathering powers under the NACC</w:t>
      </w:r>
      <w:r w:rsidR="00AB7525" w:rsidRPr="002679AD">
        <w:t xml:space="preserve"> </w:t>
      </w:r>
      <w:r w:rsidRPr="002679AD">
        <w:t>Act and other relevant legislation. For example, the Commission can:</w:t>
      </w:r>
    </w:p>
    <w:p w14:paraId="556992C4" w14:textId="1464B895" w:rsidR="0081673F" w:rsidRPr="00606532" w:rsidRDefault="0081673F" w:rsidP="00606532">
      <w:pPr>
        <w:pStyle w:val="Bullet1"/>
      </w:pPr>
      <w:r w:rsidRPr="00606532">
        <w:t>compel the production of documents or</w:t>
      </w:r>
      <w:r w:rsidR="00AB7525" w:rsidRPr="00606532">
        <w:t xml:space="preserve"> </w:t>
      </w:r>
      <w:r w:rsidRPr="00606532">
        <w:t>other things</w:t>
      </w:r>
    </w:p>
    <w:p w14:paraId="4E305FAA" w14:textId="77777777" w:rsidR="0081673F" w:rsidRPr="00606532" w:rsidRDefault="0081673F" w:rsidP="00606532">
      <w:pPr>
        <w:pStyle w:val="Bullet1"/>
      </w:pPr>
      <w:r w:rsidRPr="00606532">
        <w:t>compel individuals to provide information, which could involve participation in a hearing</w:t>
      </w:r>
    </w:p>
    <w:p w14:paraId="30D2DD44" w14:textId="42616360" w:rsidR="0081673F" w:rsidRPr="00606532" w:rsidRDefault="0081673F" w:rsidP="00606532">
      <w:pPr>
        <w:pStyle w:val="Bullet1"/>
      </w:pPr>
      <w:r w:rsidRPr="00606532">
        <w:t xml:space="preserve">obtain search warrants </w:t>
      </w:r>
      <w:r w:rsidR="32F2D373" w:rsidRPr="00606532">
        <w:t xml:space="preserve">and warrants to </w:t>
      </w:r>
      <w:r w:rsidRPr="00606532">
        <w:t>intercept telecommunications and use</w:t>
      </w:r>
      <w:r w:rsidR="00AB7525" w:rsidRPr="00606532">
        <w:t xml:space="preserve"> </w:t>
      </w:r>
      <w:r w:rsidRPr="00606532">
        <w:t>surveillance devices.</w:t>
      </w:r>
    </w:p>
    <w:p w14:paraId="247F51BF" w14:textId="77777777" w:rsidR="0081673F" w:rsidRPr="002679AD" w:rsidRDefault="0081673F" w:rsidP="00606532">
      <w:pPr>
        <w:pStyle w:val="Heading3"/>
        <w:spacing w:before="360" w:after="240"/>
      </w:pPr>
      <w:r w:rsidRPr="002679AD">
        <w:t>Commission hearings</w:t>
      </w:r>
    </w:p>
    <w:p w14:paraId="436FD046" w14:textId="77777777" w:rsidR="0081673F" w:rsidRPr="002679AD" w:rsidRDefault="0081673F" w:rsidP="00606532">
      <w:r w:rsidRPr="002679AD">
        <w:t>Under the NACC Act, the Commissioner has the power to summon a person to attend a hearing to give evidence or produce a document or other thing relevant to a corruption investigation.</w:t>
      </w:r>
    </w:p>
    <w:p w14:paraId="3395D6A3" w14:textId="490E2C83" w:rsidR="0081673F" w:rsidRPr="002679AD" w:rsidRDefault="0081673F" w:rsidP="00606532">
      <w:r w:rsidRPr="002679AD">
        <w:t>Hearings must be held in private, except in exceptional circumstances</w:t>
      </w:r>
      <w:r w:rsidR="00C2CE7C">
        <w:t xml:space="preserve"> and it is in the public interest</w:t>
      </w:r>
      <w:r>
        <w:t>.</w:t>
      </w:r>
      <w:r w:rsidRPr="002679AD">
        <w:t xml:space="preserve"> Whether exceptional circumstances exist </w:t>
      </w:r>
      <w:r w:rsidR="47204DCF">
        <w:t>and public interest considerations are satisfied</w:t>
      </w:r>
      <w:r>
        <w:t xml:space="preserve"> is decided on</w:t>
      </w:r>
      <w:r w:rsidR="00AB7525">
        <w:t xml:space="preserve"> </w:t>
      </w:r>
      <w:r>
        <w:t>a</w:t>
      </w:r>
      <w:r w:rsidR="00AB7525">
        <w:t xml:space="preserve"> </w:t>
      </w:r>
      <w:r>
        <w:t>case</w:t>
      </w:r>
      <w:r w:rsidR="0FA61B20">
        <w:t>-</w:t>
      </w:r>
      <w:r>
        <w:t>by</w:t>
      </w:r>
      <w:r w:rsidR="3E88C1AD">
        <w:t>-</w:t>
      </w:r>
      <w:r>
        <w:t>case basis.</w:t>
      </w:r>
    </w:p>
    <w:p w14:paraId="1657F074" w14:textId="77777777" w:rsidR="0081673F" w:rsidRPr="002679AD" w:rsidRDefault="0081673F" w:rsidP="00606532">
      <w:pPr>
        <w:pStyle w:val="Heading3"/>
        <w:spacing w:before="360" w:after="240"/>
      </w:pPr>
      <w:r w:rsidRPr="00606532">
        <w:lastRenderedPageBreak/>
        <w:t>Finalising</w:t>
      </w:r>
      <w:r w:rsidRPr="002679AD">
        <w:t xml:space="preserve"> an investigation</w:t>
      </w:r>
    </w:p>
    <w:p w14:paraId="46B03F53" w14:textId="2F59FADC" w:rsidR="0081673F" w:rsidRPr="002679AD" w:rsidRDefault="0081673F" w:rsidP="00606532">
      <w:pPr>
        <w:rPr>
          <w:highlight w:val="green"/>
        </w:rPr>
      </w:pPr>
      <w:r>
        <w:t xml:space="preserve">The Commissioner can decide at any time during a </w:t>
      </w:r>
      <w:r w:rsidR="647277A9">
        <w:t>c</w:t>
      </w:r>
      <w:r w:rsidR="6A62CB15">
        <w:t>orruption</w:t>
      </w:r>
      <w:r w:rsidR="29F7DF66">
        <w:t xml:space="preserve"> </w:t>
      </w:r>
      <w:r>
        <w:t>investigation that no further action should be taken and discontinue the investigation.</w:t>
      </w:r>
    </w:p>
    <w:p w14:paraId="26A5F673" w14:textId="6AB86B22" w:rsidR="1F6EF6A1" w:rsidRPr="002679AD" w:rsidRDefault="5F576FE0" w:rsidP="00606532">
      <w:r w:rsidRPr="60E8D8FB">
        <w:t>That decision could be made</w:t>
      </w:r>
      <w:r w:rsidR="00901E7F">
        <w:t xml:space="preserve"> because</w:t>
      </w:r>
      <w:r w:rsidRPr="60E8D8FB">
        <w:t xml:space="preserve">, for example, the investigation </w:t>
      </w:r>
      <w:r w:rsidR="109A1B86" w:rsidRPr="60E8D8FB">
        <w:t xml:space="preserve">appears to </w:t>
      </w:r>
      <w:r w:rsidRPr="60E8D8FB">
        <w:t>predominantly involve criminal conduct that</w:t>
      </w:r>
      <w:r w:rsidR="28B5AD71" w:rsidRPr="60E8D8FB">
        <w:t xml:space="preserve"> is more appropriately dealt with </w:t>
      </w:r>
      <w:r w:rsidRPr="60E8D8FB">
        <w:t xml:space="preserve">in the criminal justice system </w:t>
      </w:r>
      <w:r w:rsidR="26B4F0C6" w:rsidRPr="60E8D8FB">
        <w:t>or</w:t>
      </w:r>
      <w:r w:rsidR="00C574D9">
        <w:t xml:space="preserve"> because</w:t>
      </w:r>
      <w:r w:rsidR="00BE121C">
        <w:t>,</w:t>
      </w:r>
      <w:r w:rsidR="26B4F0C6" w:rsidRPr="60E8D8FB">
        <w:t xml:space="preserve"> </w:t>
      </w:r>
      <w:r w:rsidR="2BA92326" w:rsidRPr="60E8D8FB">
        <w:t xml:space="preserve">for example, </w:t>
      </w:r>
      <w:r w:rsidR="26B4F0C6" w:rsidRPr="60E8D8FB">
        <w:t xml:space="preserve">the </w:t>
      </w:r>
      <w:r w:rsidR="100E7359" w:rsidRPr="60E8D8FB">
        <w:t xml:space="preserve">corruption investigation is unlikely </w:t>
      </w:r>
      <w:r w:rsidR="6DF20AA0" w:rsidRPr="60E8D8FB">
        <w:t>to</w:t>
      </w:r>
      <w:r w:rsidR="551BBBEC" w:rsidRPr="60E8D8FB">
        <w:t xml:space="preserve"> find evidence of corrupt conduct </w:t>
      </w:r>
      <w:r w:rsidRPr="60E8D8FB">
        <w:t>and the resources that would otherwise be applied to that investigation are better utilised investigating other corruption issues.</w:t>
      </w:r>
    </w:p>
    <w:p w14:paraId="727A1AEE" w14:textId="06C567C7" w:rsidR="0081673F" w:rsidRPr="002679AD" w:rsidRDefault="0081673F" w:rsidP="00606532">
      <w:r w:rsidRPr="002679AD">
        <w:t>At the completion of an investigation, the Commissioner must prepare a report on the investigation for the Attorney-General (unless the investigation is about the Attorney-General, in which case the report would be made to the Prime Minister).</w:t>
      </w:r>
    </w:p>
    <w:p w14:paraId="51681D1D" w14:textId="77777777" w:rsidR="0081673F" w:rsidRPr="002679AD" w:rsidRDefault="0081673F" w:rsidP="00606532">
      <w:r w:rsidRPr="002679AD">
        <w:t>The report must set out:</w:t>
      </w:r>
    </w:p>
    <w:p w14:paraId="2231B6BB" w14:textId="38DC4A33" w:rsidR="0081673F" w:rsidRPr="00606532" w:rsidRDefault="0081673F" w:rsidP="00606532">
      <w:pPr>
        <w:pStyle w:val="Bullet1"/>
      </w:pPr>
      <w:r w:rsidRPr="00606532">
        <w:t>the Commissioner’s findings or opinions on the corruption issue. This can include a finding that a person has engaged in corrupt conduct</w:t>
      </w:r>
      <w:r w:rsidR="00DF4B44" w:rsidRPr="00606532">
        <w:t xml:space="preserve">, which is </w:t>
      </w:r>
      <w:r w:rsidRPr="00606532">
        <w:t>an administrative finding of fact, not a finding of criminal guilt</w:t>
      </w:r>
    </w:p>
    <w:p w14:paraId="683BEB90" w14:textId="0219F518" w:rsidR="0081673F" w:rsidRPr="00606532" w:rsidRDefault="0081673F" w:rsidP="00606532">
      <w:pPr>
        <w:pStyle w:val="Bullet1"/>
      </w:pPr>
      <w:r w:rsidRPr="00606532">
        <w:t>a summary of the evidence and other material on which those findings or opinions are based</w:t>
      </w:r>
    </w:p>
    <w:p w14:paraId="5DC8E607" w14:textId="77777777" w:rsidR="0081673F" w:rsidRPr="00606532" w:rsidRDefault="0081673F" w:rsidP="00606532">
      <w:pPr>
        <w:pStyle w:val="Bullet1"/>
      </w:pPr>
      <w:r w:rsidRPr="00606532">
        <w:t>any recommendations the Commissioner sees fit to make and the reasons for those recommendations. If the Commission finds evidence of a criminal offence, it may send a brief of evidence to the Commonwealth Director of Public Prosecutions for them to consider whether there is sufficient evidence for charges to be laid.</w:t>
      </w:r>
    </w:p>
    <w:p w14:paraId="7F2D77E6" w14:textId="2F8E6863" w:rsidR="0081673F" w:rsidRPr="002679AD" w:rsidRDefault="0081673F" w:rsidP="00606532">
      <w:r>
        <w:t xml:space="preserve">If the Commission has held a public hearing, it must table the report in Parliament. The Commission can </w:t>
      </w:r>
      <w:r w:rsidR="1914E9FA">
        <w:t xml:space="preserve">also </w:t>
      </w:r>
      <w:r>
        <w:t>publish reports if satisfied it is in the public interest to do so.</w:t>
      </w:r>
    </w:p>
    <w:p w14:paraId="1C2B30D1" w14:textId="058C3075" w:rsidR="0CE5E996" w:rsidRDefault="0CE5E996" w:rsidP="00606532">
      <w:pPr>
        <w:pStyle w:val="Heading3"/>
        <w:spacing w:before="360" w:after="240"/>
      </w:pPr>
      <w:r>
        <w:lastRenderedPageBreak/>
        <w:t xml:space="preserve">Joint </w:t>
      </w:r>
      <w:r w:rsidRPr="00606532">
        <w:t>investigations</w:t>
      </w:r>
    </w:p>
    <w:p w14:paraId="6877EDF9" w14:textId="5C55B61E" w:rsidR="0CE5E996" w:rsidRDefault="0CE5E996" w:rsidP="00606532">
      <w:pPr>
        <w:rPr>
          <w:highlight w:val="green"/>
        </w:rPr>
      </w:pPr>
      <w:r>
        <w:t>The Commission may investigate corruption issues jointly with another Commonwealth</w:t>
      </w:r>
      <w:r w:rsidR="00F5690F">
        <w:t xml:space="preserve">, </w:t>
      </w:r>
      <w:r>
        <w:t xml:space="preserve">state </w:t>
      </w:r>
      <w:r w:rsidR="00F5690F">
        <w:t xml:space="preserve">or territory </w:t>
      </w:r>
      <w:r>
        <w:t>government agen</w:t>
      </w:r>
      <w:r w:rsidR="5ED6A946">
        <w:t>cy, for example if the investigation would benefit from the specialist knowledge of the other agency and the special powers of the Commission</w:t>
      </w:r>
      <w:r>
        <w:t>.</w:t>
      </w:r>
    </w:p>
    <w:p w14:paraId="3796E25A" w14:textId="72CA4BDC" w:rsidR="003F196C" w:rsidRPr="002679AD" w:rsidRDefault="003F196C" w:rsidP="00606532">
      <w:pPr>
        <w:pStyle w:val="Heading2"/>
        <w:spacing w:before="360" w:after="240"/>
      </w:pPr>
      <w:bookmarkStart w:id="52" w:name="_Toc236917906"/>
      <w:r>
        <w:t xml:space="preserve">Referring </w:t>
      </w:r>
      <w:r w:rsidRPr="00606532">
        <w:t>corruption</w:t>
      </w:r>
      <w:r>
        <w:t xml:space="preserve"> issues to other Commonwealth agencies for investigation</w:t>
      </w:r>
      <w:bookmarkEnd w:id="52"/>
    </w:p>
    <w:p w14:paraId="51F29DAA" w14:textId="0706F668" w:rsidR="003F196C" w:rsidRPr="002679AD" w:rsidRDefault="003F196C" w:rsidP="00606532">
      <w:r w:rsidRPr="002679AD">
        <w:t>The Commissioner may deal with a corruption issue by referring</w:t>
      </w:r>
      <w:r w:rsidR="25E72D7A" w:rsidRPr="002679AD">
        <w:t xml:space="preserve"> i</w:t>
      </w:r>
      <w:r w:rsidRPr="002679AD">
        <w:t>t</w:t>
      </w:r>
      <w:r w:rsidR="25E72D7A" w:rsidRPr="002679AD">
        <w:t xml:space="preserve"> to the relevant agency for investigation, provided the Commissioner is satisfied the agency has the capability to investigate it. </w:t>
      </w:r>
      <w:r w:rsidRPr="002679AD">
        <w:t xml:space="preserve">The Commissioner can decide to oversee </w:t>
      </w:r>
      <w:r w:rsidR="00041289" w:rsidRPr="002679AD">
        <w:t xml:space="preserve">the investigation, </w:t>
      </w:r>
      <w:r w:rsidR="002862D7" w:rsidRPr="002679AD">
        <w:t xml:space="preserve">issue </w:t>
      </w:r>
      <w:r w:rsidR="00AF4FE1" w:rsidRPr="002679AD">
        <w:t>directions</w:t>
      </w:r>
      <w:r w:rsidR="002862D7" w:rsidRPr="002679AD">
        <w:t xml:space="preserve"> to the agency in relation to the </w:t>
      </w:r>
      <w:r w:rsidR="00AF4FE1" w:rsidRPr="002679AD">
        <w:t>investigation</w:t>
      </w:r>
      <w:r w:rsidR="00A2439C" w:rsidRPr="002679AD">
        <w:t xml:space="preserve"> or</w:t>
      </w:r>
      <w:r w:rsidRPr="002679AD">
        <w:t xml:space="preserve"> leave the agency to conduct the investigation independently.</w:t>
      </w:r>
    </w:p>
    <w:p w14:paraId="63975195" w14:textId="04E7BF65" w:rsidR="003F196C" w:rsidRPr="002679AD" w:rsidRDefault="003F196C" w:rsidP="00606532">
      <w:r>
        <w:t>The</w:t>
      </w:r>
      <w:r w:rsidR="00EB47F6">
        <w:t xml:space="preserve"> Commissioner may </w:t>
      </w:r>
      <w:r>
        <w:t>require</w:t>
      </w:r>
      <w:r w:rsidR="00EB47F6">
        <w:t xml:space="preserve"> the agency</w:t>
      </w:r>
      <w:r>
        <w:t xml:space="preserve"> to provide </w:t>
      </w:r>
      <w:r w:rsidR="02D2489B">
        <w:t xml:space="preserve">progress </w:t>
      </w:r>
      <w:r>
        <w:t xml:space="preserve">reports and/or a </w:t>
      </w:r>
      <w:r w:rsidR="38B9F420">
        <w:t xml:space="preserve">completion </w:t>
      </w:r>
      <w:r>
        <w:t>report to the Commission</w:t>
      </w:r>
      <w:r w:rsidR="00EB47F6">
        <w:t xml:space="preserve"> at specified intervals</w:t>
      </w:r>
      <w:r>
        <w:t>.</w:t>
      </w:r>
    </w:p>
    <w:p w14:paraId="7C6B1A89" w14:textId="0C766464" w:rsidR="003F196C" w:rsidRPr="002679AD" w:rsidRDefault="4362C392" w:rsidP="00606532">
      <w:r>
        <w:t>The Commissioner may make comments</w:t>
      </w:r>
      <w:r w:rsidR="5768BBEA">
        <w:t>,</w:t>
      </w:r>
      <w:r>
        <w:t xml:space="preserve"> recommendations</w:t>
      </w:r>
      <w:r w:rsidR="74C9EA8D">
        <w:t xml:space="preserve"> or require follow-up action</w:t>
      </w:r>
      <w:r>
        <w:t xml:space="preserve"> on </w:t>
      </w:r>
      <w:r w:rsidR="21431FD6">
        <w:t>an</w:t>
      </w:r>
      <w:r>
        <w:t xml:space="preserve"> investigation, its outcome and/or preventive measures that have been or could be put in place to address ongoing corruption risks and vulnerabilities.</w:t>
      </w:r>
    </w:p>
    <w:p w14:paraId="0F9913BF" w14:textId="55C92670" w:rsidR="4D9E0C84" w:rsidRDefault="4D9E0C84" w:rsidP="00606532">
      <w:pPr>
        <w:pStyle w:val="Heading2"/>
        <w:spacing w:before="360" w:after="240"/>
      </w:pPr>
      <w:bookmarkStart w:id="53" w:name="_Toc236917907"/>
      <w:r>
        <w:t xml:space="preserve">Creating and disseminating </w:t>
      </w:r>
      <w:r w:rsidRPr="00606532">
        <w:t>corruption</w:t>
      </w:r>
      <w:r>
        <w:t xml:space="preserve"> prevention </w:t>
      </w:r>
      <w:r w:rsidDel="00501EF7">
        <w:t xml:space="preserve">information and </w:t>
      </w:r>
      <w:r>
        <w:t>education</w:t>
      </w:r>
      <w:r w:rsidR="4B0FB470">
        <w:t xml:space="preserve"> </w:t>
      </w:r>
      <w:r w:rsidR="4B0FB470" w:rsidDel="00501EF7">
        <w:t>to build a strong public sector integrity culture</w:t>
      </w:r>
      <w:bookmarkEnd w:id="53"/>
    </w:p>
    <w:p w14:paraId="53B2A2AC" w14:textId="77777777" w:rsidR="00F575CC" w:rsidRDefault="7F3B429D" w:rsidP="4C983E8E">
      <w:pPr>
        <w:rPr>
          <w:rFonts w:eastAsia="Work Sans" w:cs="Work Sans"/>
        </w:rPr>
      </w:pPr>
      <w:r w:rsidRPr="16D7C4F1">
        <w:rPr>
          <w:rFonts w:eastAsia="Work Sans" w:cs="Work Sans"/>
        </w:rPr>
        <w:t>The Commission educates public officials, the public sector and the public about corruption risks and vulnerabilities to enhance corruption prevention strategies and to build a strong integrity culture. The purpose of these activities is to build resistance to corrupt conduct, encourage people to report it, and create a culture in which corruption is not tolerated.</w:t>
      </w:r>
    </w:p>
    <w:p w14:paraId="026F7F4D" w14:textId="77777777" w:rsidR="00F575CC" w:rsidRDefault="7F3B429D" w:rsidP="00606532">
      <w:r w:rsidRPr="16D7C4F1">
        <w:lastRenderedPageBreak/>
        <w:t xml:space="preserve">The Commission provides guidance to </w:t>
      </w:r>
      <w:r w:rsidRPr="16D7C4F1" w:rsidDel="00835961">
        <w:t xml:space="preserve">public officials who are </w:t>
      </w:r>
      <w:r w:rsidRPr="16D7C4F1">
        <w:t xml:space="preserve">mandatory </w:t>
      </w:r>
      <w:r w:rsidRPr="335006B8">
        <w:t>re</w:t>
      </w:r>
      <w:r w:rsidR="33D4239F" w:rsidRPr="335006B8">
        <w:t>ferrers</w:t>
      </w:r>
      <w:r w:rsidRPr="16D7C4F1">
        <w:t xml:space="preserve"> about their obligations to report suspected serious or systemic corrupt conduct concerning staff of their agencies, and how they can do so.</w:t>
      </w:r>
    </w:p>
    <w:p w14:paraId="0C553A9B" w14:textId="77777777" w:rsidR="00F575CC" w:rsidRDefault="7F3B429D" w:rsidP="00606532">
      <w:r w:rsidRPr="16D7C4F1">
        <w:t xml:space="preserve">The Commission provides guidance and information to help public officials understand the importance of integrity in </w:t>
      </w:r>
      <w:r w:rsidR="6459F57A" w:rsidRPr="335006B8">
        <w:t>preventing corruption</w:t>
      </w:r>
      <w:r w:rsidRPr="16D7C4F1">
        <w:t>, and to address vulnerabilities to corruption within their agencies.</w:t>
      </w:r>
    </w:p>
    <w:p w14:paraId="17E27CDA" w14:textId="77777777" w:rsidR="00F575CC" w:rsidRDefault="7F3B429D" w:rsidP="00606532">
      <w:r w:rsidRPr="16D7C4F1">
        <w:t>The Commission takes opportunities to speak at conferences and other events to explain and promote the role of the Commission and corruption risks and vulnerabilities to a wider audience, including members of the business community and the public.</w:t>
      </w:r>
    </w:p>
    <w:p w14:paraId="5E96460C" w14:textId="77777777" w:rsidR="00F575CC" w:rsidRDefault="7F3B429D" w:rsidP="00606532">
      <w:r w:rsidRPr="16D7C4F1">
        <w:t>It also publishes corruption prevention resources on its website to build public understanding.</w:t>
      </w:r>
    </w:p>
    <w:p w14:paraId="2F4E4185" w14:textId="77777777" w:rsidR="00F575CC" w:rsidRDefault="7F3B429D" w:rsidP="00606532">
      <w:r w:rsidRPr="16D7C4F1">
        <w:t>To provide transparency and operate as a deterrent to corrupt conduct, the Commission publishes regular updates and statistics about its activities.</w:t>
      </w:r>
    </w:p>
    <w:p w14:paraId="2AC49D61" w14:textId="2D742CBF" w:rsidR="002209C8" w:rsidRPr="002679AD" w:rsidRDefault="7F3B429D" w:rsidP="0093685F">
      <w:r w:rsidRPr="16D7C4F1">
        <w:t>The Commission can conduct public inquiries into corruption risks and vulnerabilities, and measures to prevent corruption in Commonwealth agencies and programs.</w:t>
      </w:r>
    </w:p>
    <w:p w14:paraId="53D657B2" w14:textId="77777777" w:rsidR="002209C8" w:rsidRPr="002679AD" w:rsidRDefault="002209C8" w:rsidP="00606532">
      <w:pPr>
        <w:pStyle w:val="Heading1"/>
      </w:pPr>
      <w:bookmarkStart w:id="54" w:name="_Toc221793670"/>
      <w:bookmarkStart w:id="55" w:name="_Toc221793690"/>
      <w:bookmarkStart w:id="56" w:name="_Toc236917908"/>
      <w:r w:rsidRPr="002679AD">
        <w:lastRenderedPageBreak/>
        <w:t>Operating context</w:t>
      </w:r>
      <w:bookmarkEnd w:id="54"/>
      <w:bookmarkEnd w:id="55"/>
      <w:bookmarkEnd w:id="56"/>
    </w:p>
    <w:p w14:paraId="60EF301D" w14:textId="77777777" w:rsidR="002209C8" w:rsidRPr="002679AD" w:rsidRDefault="002209C8" w:rsidP="00606532">
      <w:pPr>
        <w:pStyle w:val="Heading2"/>
        <w:spacing w:before="360" w:after="240"/>
      </w:pPr>
      <w:bookmarkStart w:id="57" w:name="_Toc221793671"/>
      <w:bookmarkStart w:id="58" w:name="_Toc221793691"/>
      <w:bookmarkStart w:id="59" w:name="_Toc236917909"/>
      <w:r w:rsidRPr="002679AD">
        <w:t xml:space="preserve">Operating </w:t>
      </w:r>
      <w:r w:rsidRPr="00606532">
        <w:t>environment</w:t>
      </w:r>
      <w:bookmarkEnd w:id="57"/>
      <w:bookmarkEnd w:id="58"/>
      <w:bookmarkEnd w:id="59"/>
    </w:p>
    <w:p w14:paraId="5C384994" w14:textId="76349EF9" w:rsidR="00314D19" w:rsidRDefault="00314D19" w:rsidP="00606532">
      <w:r>
        <w:t>The Commission continues to operate under high public scrutiny and expectation.</w:t>
      </w:r>
    </w:p>
    <w:p w14:paraId="60314B34" w14:textId="77777777" w:rsidR="00F575CC" w:rsidRDefault="11D908CE" w:rsidP="00606532">
      <w:pPr>
        <w:rPr>
          <w:rFonts w:eastAsia="Work Sans" w:cs="Work Sans"/>
        </w:rPr>
      </w:pPr>
      <w:r w:rsidRPr="16D7C4F1">
        <w:rPr>
          <w:rFonts w:eastAsia="Work Sans" w:cs="Work Sans"/>
        </w:rPr>
        <w:t>The Commission works with other Commonwealth agencies to detect and prevent corruption, while also independently assessing and investigating corruption issues that involve those agencies.</w:t>
      </w:r>
    </w:p>
    <w:p w14:paraId="10B751AF" w14:textId="77777777" w:rsidR="00F575CC" w:rsidRDefault="11D908CE" w:rsidP="00606532">
      <w:pPr>
        <w:rPr>
          <w:rFonts w:eastAsia="Work Sans" w:cs="Work Sans"/>
        </w:rPr>
      </w:pPr>
      <w:r w:rsidRPr="16D7C4F1">
        <w:rPr>
          <w:rFonts w:eastAsia="Work Sans" w:cs="Work Sans"/>
        </w:rPr>
        <w:t xml:space="preserve">The Commission recognises the importance of exposing corrupt conduct and building public awareness of how corruption can be detected and prevented. It is also conscious that its work should be subject to public scrutiny and that it needs to operate with as much transparency as </w:t>
      </w:r>
      <w:r w:rsidR="00724D94">
        <w:rPr>
          <w:rFonts w:eastAsia="Work Sans" w:cs="Work Sans"/>
        </w:rPr>
        <w:t>possible</w:t>
      </w:r>
      <w:r w:rsidRPr="16D7C4F1">
        <w:rPr>
          <w:rFonts w:eastAsia="Work Sans" w:cs="Work Sans"/>
        </w:rPr>
        <w:t>.</w:t>
      </w:r>
    </w:p>
    <w:p w14:paraId="0E9A3F76" w14:textId="580D4906" w:rsidR="11D908CE" w:rsidRDefault="11D908CE" w:rsidP="00606532">
      <w:r w:rsidRPr="16D7C4F1">
        <w:rPr>
          <w:rFonts w:eastAsia="Work Sans" w:cs="Work Sans"/>
        </w:rPr>
        <w:t>However, much of the Commission’s work is necessarily confidential and there are constraints on what can permissibly or properly be done openly. In accordance with the governing legislation, the Commission will conduct public hearings when the circumstances and the public interest justify an exception to the general rule that they be held in private.</w:t>
      </w:r>
    </w:p>
    <w:p w14:paraId="200E0946" w14:textId="5E194953" w:rsidR="00114760" w:rsidRPr="002679AD" w:rsidRDefault="00114760" w:rsidP="00606532">
      <w:pPr>
        <w:pStyle w:val="Heading3"/>
        <w:spacing w:before="360" w:after="240"/>
      </w:pPr>
      <w:r>
        <w:t xml:space="preserve">Environmental scanning and </w:t>
      </w:r>
      <w:r w:rsidRPr="00606532">
        <w:t>intelligence</w:t>
      </w:r>
      <w:r>
        <w:t xml:space="preserve"> gathering</w:t>
      </w:r>
    </w:p>
    <w:p w14:paraId="052239D1" w14:textId="77777777" w:rsidR="00A15168" w:rsidRPr="002679AD" w:rsidRDefault="00A15168" w:rsidP="00606532">
      <w:r w:rsidRPr="002679AD">
        <w:t>The Commission monitors the integrity landscape and shares insights and analysis with other agencies to enhance their awareness of corruption issues. Referrals received by the Commission are one way in which it identifies trends in the nature and level of corruption within the Commonwealth of Australia.</w:t>
      </w:r>
    </w:p>
    <w:p w14:paraId="0D10CB1D" w14:textId="6AC9EDE1" w:rsidR="00A15168" w:rsidRDefault="00A15168" w:rsidP="00606532">
      <w:r w:rsidRPr="002679AD">
        <w:lastRenderedPageBreak/>
        <w:t xml:space="preserve">The Commission also conducts the biennial Commonwealth Integrity Survey to build an evidence‑based understanding of the nature and extent of perceptions </w:t>
      </w:r>
      <w:r w:rsidR="04AD67B1" w:rsidRPr="002679AD">
        <w:t xml:space="preserve">of </w:t>
      </w:r>
      <w:r w:rsidRPr="002679AD">
        <w:t>corruption across the Commonwealth public sector. The Commission shares results of the survey with participating agencies to support their corruption prevention efforts and help identify the impact of those efforts over time.</w:t>
      </w:r>
    </w:p>
    <w:p w14:paraId="2A2E56C4" w14:textId="2E25ED8D" w:rsidR="0030472B" w:rsidRPr="002679AD" w:rsidRDefault="0030472B" w:rsidP="0030472B">
      <w:r>
        <w:rPr>
          <w:noProof/>
        </w:rPr>
        <w:drawing>
          <wp:inline distT="0" distB="0" distL="0" distR="0" wp14:anchorId="00170FCC" wp14:editId="30D9E762">
            <wp:extent cx="3909600" cy="3909600"/>
            <wp:effectExtent l="0" t="0" r="0" b="0"/>
            <wp:docPr id="1361179706" name="Picture 4" descr="A diagram showing the 6 Strategic corruption priorities: the Australian border, procurements and grants, senior public officials, contractors, the environmental sector, corrupt conduct affecting vulnerabl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179706" name="Picture 4" descr="A diagram showing the 6 Strategic corruption priorities: the Australian border, procurements and grants, senior public officials, contractors, the environmental sector, corrupt conduct affecting vulnerable peopl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909600" cy="3909600"/>
                    </a:xfrm>
                    <a:prstGeom prst="rect">
                      <a:avLst/>
                    </a:prstGeom>
                  </pic:spPr>
                </pic:pic>
              </a:graphicData>
            </a:graphic>
          </wp:inline>
        </w:drawing>
      </w:r>
    </w:p>
    <w:p w14:paraId="251F4C4E" w14:textId="77777777" w:rsidR="00114760" w:rsidRPr="002679AD" w:rsidRDefault="00114760" w:rsidP="00606532">
      <w:pPr>
        <w:pStyle w:val="Heading3"/>
        <w:spacing w:before="360" w:after="240"/>
      </w:pPr>
      <w:r w:rsidRPr="00606532">
        <w:t>Strategic</w:t>
      </w:r>
      <w:r w:rsidRPr="002679AD">
        <w:t xml:space="preserve"> corruption priorities</w:t>
      </w:r>
    </w:p>
    <w:p w14:paraId="58836AC6" w14:textId="77777777" w:rsidR="0016415A" w:rsidRPr="002679AD" w:rsidRDefault="0016415A" w:rsidP="00606532">
      <w:r w:rsidRPr="002679AD">
        <w:t>To assist in prioritising its resources effectively and efficiently, the Commission has 6 strategic corruption priorities.</w:t>
      </w:r>
    </w:p>
    <w:p w14:paraId="44A40B97" w14:textId="7D9B3866" w:rsidR="0016415A" w:rsidRPr="002679AD" w:rsidRDefault="0016415A" w:rsidP="00606532">
      <w:r w:rsidRPr="002679AD">
        <w:t>These priorities assist in focusing the Commission’s detection, investigative and prevention activities.</w:t>
      </w:r>
    </w:p>
    <w:p w14:paraId="645D7BA4" w14:textId="77777777" w:rsidR="0016415A" w:rsidRPr="002679AD" w:rsidRDefault="0016415A" w:rsidP="00606532">
      <w:r w:rsidRPr="002679AD">
        <w:t>The current strategic corruption priorities relate to corrupt conduct:</w:t>
      </w:r>
    </w:p>
    <w:p w14:paraId="715D2FF9" w14:textId="4ECB402C" w:rsidR="0016415A" w:rsidRPr="00606532" w:rsidRDefault="0016415A" w:rsidP="00606532">
      <w:pPr>
        <w:pStyle w:val="Bullet1"/>
      </w:pPr>
      <w:r w:rsidRPr="00606532">
        <w:t>at the Australian border</w:t>
      </w:r>
    </w:p>
    <w:p w14:paraId="1F0644CB" w14:textId="5923D5BB" w:rsidR="0016415A" w:rsidRPr="00606532" w:rsidRDefault="0016415A" w:rsidP="00606532">
      <w:pPr>
        <w:pStyle w:val="Bullet1"/>
      </w:pPr>
      <w:r w:rsidRPr="00606532">
        <w:t>in procurements and grants</w:t>
      </w:r>
    </w:p>
    <w:p w14:paraId="7E06D823" w14:textId="77777777" w:rsidR="00F575CC" w:rsidRPr="00606532" w:rsidRDefault="0016415A" w:rsidP="00606532">
      <w:pPr>
        <w:pStyle w:val="Bullet1"/>
      </w:pPr>
      <w:r w:rsidRPr="00606532">
        <w:lastRenderedPageBreak/>
        <w:t>involving senior public officials</w:t>
      </w:r>
    </w:p>
    <w:p w14:paraId="30E0824B" w14:textId="77777777" w:rsidR="00F575CC" w:rsidRPr="00606532" w:rsidRDefault="0016415A" w:rsidP="00606532">
      <w:pPr>
        <w:pStyle w:val="Bullet1"/>
      </w:pPr>
      <w:r w:rsidRPr="00606532">
        <w:t>involving contractors</w:t>
      </w:r>
    </w:p>
    <w:p w14:paraId="1EE98C41" w14:textId="242169B1" w:rsidR="0016415A" w:rsidRPr="00606532" w:rsidRDefault="0016415A" w:rsidP="00606532">
      <w:pPr>
        <w:pStyle w:val="Bullet1"/>
      </w:pPr>
      <w:r w:rsidRPr="00606532">
        <w:t>affecting the environmental sector</w:t>
      </w:r>
    </w:p>
    <w:p w14:paraId="00B65EDA" w14:textId="77777777" w:rsidR="0016415A" w:rsidRPr="00606532" w:rsidRDefault="0016415A" w:rsidP="00606532">
      <w:pPr>
        <w:pStyle w:val="Bullet1"/>
      </w:pPr>
      <w:r w:rsidRPr="00606532">
        <w:t>affecting vulnerable people.</w:t>
      </w:r>
    </w:p>
    <w:p w14:paraId="0A3A1706" w14:textId="661FDED9" w:rsidR="0016415A" w:rsidRPr="002679AD" w:rsidRDefault="0016415A" w:rsidP="0016415A">
      <w:r w:rsidRPr="002679AD">
        <w:t>The Commission reviews these priorities each year to consider how its work is engaging with these issues and whether the priorities need to be adjusted in response to changes in the broader integrity environment.</w:t>
      </w:r>
    </w:p>
    <w:p w14:paraId="5853A401" w14:textId="77777777" w:rsidR="00D101F7" w:rsidRPr="002679AD" w:rsidRDefault="00D101F7" w:rsidP="006A65B4">
      <w:pPr>
        <w:pStyle w:val="Heading2"/>
        <w:spacing w:before="360" w:after="240"/>
      </w:pPr>
      <w:bookmarkStart w:id="60" w:name="_Toc236917910"/>
      <w:r w:rsidRPr="002679AD">
        <w:t>Oversight</w:t>
      </w:r>
      <w:bookmarkEnd w:id="60"/>
    </w:p>
    <w:p w14:paraId="1BC78C56" w14:textId="72A3A5DC" w:rsidR="00D101F7" w:rsidRPr="002679AD" w:rsidRDefault="00D101F7" w:rsidP="00606532">
      <w:r w:rsidRPr="002679AD">
        <w:t>The Commission is overseen by the Parliamentary Joint Committee on the National Anti-Corruption Commission (PJC-NACC)</w:t>
      </w:r>
      <w:r w:rsidR="004D77F0" w:rsidRPr="002679AD">
        <w:t xml:space="preserve"> </w:t>
      </w:r>
      <w:r w:rsidR="00B851E8">
        <w:t xml:space="preserve">and </w:t>
      </w:r>
      <w:r w:rsidRPr="002679AD">
        <w:t>the Inspector of the National Anti-Corruption Commission (the Inspector)</w:t>
      </w:r>
      <w:r w:rsidR="00294496" w:rsidRPr="002679AD">
        <w:t>. In addition, some functions of the Commission are overseen by</w:t>
      </w:r>
      <w:r w:rsidR="004D77F0" w:rsidRPr="002679AD">
        <w:t xml:space="preserve"> the Commonwealth Ombudsman</w:t>
      </w:r>
      <w:r w:rsidR="00294496" w:rsidRPr="002679AD">
        <w:t xml:space="preserve"> and the Commonwealth Auditor-General.</w:t>
      </w:r>
    </w:p>
    <w:p w14:paraId="515F8E24" w14:textId="77777777" w:rsidR="00D101F7" w:rsidRPr="00606532" w:rsidRDefault="00D101F7" w:rsidP="00606532">
      <w:pPr>
        <w:pStyle w:val="Heading3"/>
        <w:spacing w:before="360" w:after="240"/>
      </w:pPr>
      <w:r w:rsidRPr="002679AD">
        <w:t>PJC-NACC</w:t>
      </w:r>
    </w:p>
    <w:p w14:paraId="59DCDF2E" w14:textId="793DC026" w:rsidR="00D101F7" w:rsidRPr="002679AD" w:rsidRDefault="00D101F7" w:rsidP="00606532">
      <w:r w:rsidRPr="002679AD">
        <w:t>Section 177 of the NACC Act sets out the functions of the PJC</w:t>
      </w:r>
      <w:r w:rsidR="2E5CC4FD" w:rsidRPr="002679AD">
        <w:t>-</w:t>
      </w:r>
      <w:r w:rsidRPr="002679AD">
        <w:t>NACC, which include:</w:t>
      </w:r>
    </w:p>
    <w:p w14:paraId="096ADB54" w14:textId="77777777" w:rsidR="00D101F7" w:rsidRPr="00606532" w:rsidRDefault="00D101F7" w:rsidP="00606532">
      <w:pPr>
        <w:pStyle w:val="Bullet1"/>
      </w:pPr>
      <w:r w:rsidRPr="00606532">
        <w:t>considering recommendations for certain appointments</w:t>
      </w:r>
    </w:p>
    <w:p w14:paraId="636CE368" w14:textId="77777777" w:rsidR="00D101F7" w:rsidRPr="00606532" w:rsidRDefault="00D101F7" w:rsidP="00606532">
      <w:pPr>
        <w:pStyle w:val="Bullet1"/>
      </w:pPr>
      <w:r w:rsidRPr="00606532">
        <w:t>examining reports tabled in Parliament relating to the Commission and the Inspector</w:t>
      </w:r>
    </w:p>
    <w:p w14:paraId="635CE7F8" w14:textId="77777777" w:rsidR="00D101F7" w:rsidRPr="00606532" w:rsidRDefault="00D101F7" w:rsidP="00606532">
      <w:pPr>
        <w:pStyle w:val="Bullet1"/>
      </w:pPr>
      <w:r w:rsidRPr="00606532">
        <w:t>examining trends and changes in corruption, and reporting to Parliament on desirable changes to the functions, powers, procedures, structure and staffing of the Commission or Inspector</w:t>
      </w:r>
    </w:p>
    <w:p w14:paraId="7E3BF11A" w14:textId="77777777" w:rsidR="00D101F7" w:rsidRPr="00606532" w:rsidRDefault="00D101F7" w:rsidP="00606532">
      <w:pPr>
        <w:pStyle w:val="Bullet1"/>
      </w:pPr>
      <w:r w:rsidRPr="00606532">
        <w:t>reviewing the sufficiency of the Commission’s budget and finances and reporting on the outcome of that review.</w:t>
      </w:r>
    </w:p>
    <w:p w14:paraId="5C9D74BF" w14:textId="673B4E98" w:rsidR="00D101F7" w:rsidRPr="002679AD" w:rsidRDefault="00D101F7" w:rsidP="00606532">
      <w:r w:rsidRPr="002679AD">
        <w:lastRenderedPageBreak/>
        <w:t>The PJC</w:t>
      </w:r>
      <w:r w:rsidR="29607E7D" w:rsidRPr="002679AD">
        <w:t>-</w:t>
      </w:r>
      <w:r w:rsidRPr="002679AD">
        <w:t xml:space="preserve">NACC cannot review </w:t>
      </w:r>
      <w:r w:rsidR="004F65DE" w:rsidRPr="002679AD">
        <w:t xml:space="preserve">the Commission’s </w:t>
      </w:r>
      <w:r w:rsidRPr="002679AD">
        <w:t>operational decisions, methods or activities.</w:t>
      </w:r>
    </w:p>
    <w:p w14:paraId="1F94986F" w14:textId="77777777" w:rsidR="00D101F7" w:rsidRPr="002679AD" w:rsidRDefault="00D101F7" w:rsidP="00606532">
      <w:pPr>
        <w:pStyle w:val="Heading3"/>
        <w:spacing w:before="360" w:after="240"/>
      </w:pPr>
      <w:r w:rsidRPr="002679AD">
        <w:t xml:space="preserve">The </w:t>
      </w:r>
      <w:r w:rsidRPr="00606532">
        <w:t>Inspector</w:t>
      </w:r>
    </w:p>
    <w:p w14:paraId="22A89405" w14:textId="4B583851" w:rsidR="00D101F7" w:rsidRPr="002679AD" w:rsidRDefault="00D101F7" w:rsidP="00606532">
      <w:r>
        <w:t xml:space="preserve">The Inspector is an independent officer of the </w:t>
      </w:r>
      <w:r w:rsidR="4E05C76D">
        <w:t>P</w:t>
      </w:r>
      <w:r>
        <w:t xml:space="preserve">arliament. </w:t>
      </w:r>
      <w:r w:rsidR="009247EB">
        <w:t>Section</w:t>
      </w:r>
      <w:r w:rsidR="008C3621">
        <w:t xml:space="preserve"> 184 of the NACC Act sets out the functions of the Inspector</w:t>
      </w:r>
      <w:r w:rsidR="00531B5B">
        <w:t>, which include</w:t>
      </w:r>
      <w:r w:rsidR="62F5FBD8">
        <w:t xml:space="preserve"> to</w:t>
      </w:r>
      <w:r>
        <w:t>:</w:t>
      </w:r>
    </w:p>
    <w:p w14:paraId="38435869" w14:textId="2B25B5B9" w:rsidR="00D101F7" w:rsidRPr="00606532" w:rsidRDefault="02A2AFB1" w:rsidP="00606532">
      <w:pPr>
        <w:pStyle w:val="Bullet1"/>
      </w:pPr>
      <w:r w:rsidRPr="00606532">
        <w:t>investigat</w:t>
      </w:r>
      <w:r w:rsidR="71D8B249" w:rsidRPr="00606532">
        <w:t>e</w:t>
      </w:r>
      <w:r w:rsidR="00D101F7" w:rsidRPr="00606532">
        <w:t xml:space="preserve"> allegations of serious or systemic corrupt conduct within the Commission</w:t>
      </w:r>
    </w:p>
    <w:p w14:paraId="0AA390C2" w14:textId="2BF449D7" w:rsidR="00D101F7" w:rsidRPr="00606532" w:rsidRDefault="00D101F7" w:rsidP="00606532">
      <w:pPr>
        <w:pStyle w:val="Bullet1"/>
      </w:pPr>
      <w:r w:rsidRPr="00606532">
        <w:t>investigat</w:t>
      </w:r>
      <w:r w:rsidR="1DDB1473" w:rsidRPr="00606532">
        <w:t>e</w:t>
      </w:r>
      <w:r w:rsidRPr="00606532">
        <w:t xml:space="preserve"> complaints of maladministration about the Commission</w:t>
      </w:r>
    </w:p>
    <w:p w14:paraId="3FF5296F" w14:textId="522DE24B" w:rsidR="00D101F7" w:rsidRPr="00606532" w:rsidRDefault="00D101F7" w:rsidP="00606532">
      <w:pPr>
        <w:pStyle w:val="Bullet1"/>
      </w:pPr>
      <w:r w:rsidRPr="00606532">
        <w:t>audit the operations of the Commission to monitor its compliance with Commonwealth laws and detect agency maladministration and officer misconduct.</w:t>
      </w:r>
    </w:p>
    <w:p w14:paraId="4ABAF43B" w14:textId="28F07969" w:rsidR="42611D5F" w:rsidRDefault="42611D5F" w:rsidP="00606532">
      <w:r w:rsidRPr="16D7C4F1">
        <w:t>The Inspector can conduct joint investigations with the Commissioner, and with the Australian Federal Police (AFP) or a police service of a state or territory.</w:t>
      </w:r>
    </w:p>
    <w:p w14:paraId="289AACA5" w14:textId="52BFF397" w:rsidR="744FAE85" w:rsidRPr="002679AD" w:rsidRDefault="744FAE85" w:rsidP="00606532">
      <w:r w:rsidRPr="002679AD">
        <w:t xml:space="preserve">The Commission has </w:t>
      </w:r>
      <w:r w:rsidR="20B403AD" w:rsidRPr="002679AD">
        <w:t>a Memorandum of Understanding with the Inspector to facilitate the performance of the Inspector’s functions</w:t>
      </w:r>
      <w:r w:rsidR="4D93225B">
        <w:t>.</w:t>
      </w:r>
    </w:p>
    <w:p w14:paraId="23077907" w14:textId="474F408A" w:rsidR="00D101F7" w:rsidRPr="002679AD" w:rsidRDefault="00D101F7" w:rsidP="00606532">
      <w:pPr>
        <w:pStyle w:val="Heading3"/>
        <w:spacing w:before="360" w:after="240"/>
      </w:pPr>
      <w:r w:rsidRPr="002679AD">
        <w:t xml:space="preserve">Commonwealth </w:t>
      </w:r>
      <w:r w:rsidRPr="006E62D9">
        <w:t>Ombudsman</w:t>
      </w:r>
    </w:p>
    <w:p w14:paraId="70BABE15" w14:textId="23CD56F1" w:rsidR="00D101F7" w:rsidRPr="002679AD" w:rsidRDefault="00D101F7" w:rsidP="00606532">
      <w:r w:rsidRPr="002679AD">
        <w:t xml:space="preserve">In addition to the </w:t>
      </w:r>
      <w:r w:rsidR="00CE166A" w:rsidRPr="002679AD">
        <w:t xml:space="preserve">oversight functions of the </w:t>
      </w:r>
      <w:r w:rsidR="00D348BE" w:rsidRPr="002679AD">
        <w:t>PJC</w:t>
      </w:r>
      <w:r w:rsidR="00DE68DB" w:rsidRPr="002679AD">
        <w:t>-</w:t>
      </w:r>
      <w:r w:rsidR="00D348BE" w:rsidRPr="002679AD">
        <w:t>NACC and the Inspector</w:t>
      </w:r>
      <w:r w:rsidRPr="002679AD">
        <w:t>, the Commission’s use of intrusive powers is subject to regular inspection by the Office of the Commonwealth Ombudsman. This</w:t>
      </w:r>
      <w:r w:rsidR="00AB7525" w:rsidRPr="002679AD">
        <w:t xml:space="preserve"> </w:t>
      </w:r>
      <w:r w:rsidRPr="002679AD">
        <w:t>covers the Commission’s use of</w:t>
      </w:r>
      <w:r w:rsidR="00EC571D" w:rsidRPr="002679AD">
        <w:t xml:space="preserve"> and compliance with</w:t>
      </w:r>
      <w:r w:rsidRPr="002679AD">
        <w:t>:</w:t>
      </w:r>
    </w:p>
    <w:p w14:paraId="471B22D7" w14:textId="34CD43A0" w:rsidR="00D101F7" w:rsidRPr="002679AD" w:rsidRDefault="00D101F7" w:rsidP="00606532">
      <w:pPr>
        <w:pStyle w:val="Bullet1"/>
      </w:pPr>
      <w:r w:rsidRPr="00606532">
        <w:t>telecommunications</w:t>
      </w:r>
      <w:r w:rsidRPr="002679AD">
        <w:t xml:space="preserve"> interception, telecommunications data, stored communications and international production orders (under the </w:t>
      </w:r>
      <w:r w:rsidRPr="002679AD">
        <w:rPr>
          <w:i/>
          <w:iCs/>
        </w:rPr>
        <w:t>Telecommunications (Interception and Access Act) 1979</w:t>
      </w:r>
      <w:r w:rsidR="0065727C" w:rsidRPr="002679AD">
        <w:rPr>
          <w:i/>
          <w:iCs/>
        </w:rPr>
        <w:t xml:space="preserve"> </w:t>
      </w:r>
      <w:r w:rsidR="0065727C" w:rsidRPr="002679AD">
        <w:t>(Cth)</w:t>
      </w:r>
      <w:r w:rsidRPr="002679AD">
        <w:t>)</w:t>
      </w:r>
    </w:p>
    <w:p w14:paraId="77146BA4" w14:textId="02DC9D53" w:rsidR="00D101F7" w:rsidRPr="002679AD" w:rsidRDefault="00D101F7" w:rsidP="00606532">
      <w:pPr>
        <w:pStyle w:val="Bullet1"/>
      </w:pPr>
      <w:r w:rsidRPr="002679AD">
        <w:t xml:space="preserve">controlled operations </w:t>
      </w:r>
      <w:r w:rsidR="0065727C" w:rsidRPr="002679AD">
        <w:t xml:space="preserve">and integrity testing </w:t>
      </w:r>
      <w:r w:rsidRPr="002679AD">
        <w:t xml:space="preserve">(under the </w:t>
      </w:r>
      <w:r w:rsidRPr="002679AD">
        <w:rPr>
          <w:i/>
          <w:iCs/>
        </w:rPr>
        <w:t>Crimes Act 1914</w:t>
      </w:r>
      <w:r w:rsidR="0065727C" w:rsidRPr="002679AD">
        <w:t xml:space="preserve"> (Cth)</w:t>
      </w:r>
      <w:r w:rsidRPr="002679AD">
        <w:t>)</w:t>
      </w:r>
    </w:p>
    <w:p w14:paraId="6572751A" w14:textId="6CA8DE92" w:rsidR="00D101F7" w:rsidRPr="002679AD" w:rsidRDefault="00D101F7" w:rsidP="00606532">
      <w:pPr>
        <w:pStyle w:val="Bullet1"/>
      </w:pPr>
      <w:r w:rsidRPr="002679AD">
        <w:lastRenderedPageBreak/>
        <w:t xml:space="preserve">surveillance </w:t>
      </w:r>
      <w:r w:rsidRPr="00606532">
        <w:t>devices</w:t>
      </w:r>
      <w:r w:rsidRPr="002679AD">
        <w:t xml:space="preserve"> and computer access warrants (under </w:t>
      </w:r>
      <w:r w:rsidRPr="002679AD">
        <w:rPr>
          <w:i/>
          <w:iCs/>
        </w:rPr>
        <w:t>the Surveillance Devices Act</w:t>
      </w:r>
      <w:r w:rsidR="00AB7525" w:rsidRPr="002679AD">
        <w:rPr>
          <w:i/>
          <w:iCs/>
        </w:rPr>
        <w:t xml:space="preserve"> </w:t>
      </w:r>
      <w:r w:rsidRPr="002679AD">
        <w:rPr>
          <w:i/>
          <w:iCs/>
        </w:rPr>
        <w:t>2004</w:t>
      </w:r>
      <w:r w:rsidR="0065727C" w:rsidRPr="002679AD">
        <w:t xml:space="preserve"> (Cth)</w:t>
      </w:r>
      <w:r w:rsidRPr="002679AD">
        <w:t>).</w:t>
      </w:r>
    </w:p>
    <w:p w14:paraId="0FB67E46" w14:textId="1FB5490C" w:rsidR="00381B2D" w:rsidRPr="002679AD" w:rsidRDefault="00D101F7" w:rsidP="00606532">
      <w:r>
        <w:t>The Commonwealth Ombudsman also conducts regular health checks of the Commission’s compliance culture.</w:t>
      </w:r>
    </w:p>
    <w:p w14:paraId="460F85E0" w14:textId="7724C418" w:rsidR="593FB74F" w:rsidRDefault="593FB74F" w:rsidP="00606532">
      <w:r w:rsidRPr="16D7C4F1">
        <w:rPr>
          <w:rFonts w:eastAsia="Work Sans" w:cs="Work Sans"/>
        </w:rPr>
        <w:t xml:space="preserve">The Commission is also required to report annually to the </w:t>
      </w:r>
      <w:r w:rsidR="00CF5C2B">
        <w:rPr>
          <w:rFonts w:eastAsia="Work Sans" w:cs="Work Sans"/>
        </w:rPr>
        <w:t xml:space="preserve">relevant </w:t>
      </w:r>
      <w:r w:rsidRPr="16D7C4F1">
        <w:rPr>
          <w:rFonts w:eastAsia="Work Sans" w:cs="Work Sans"/>
        </w:rPr>
        <w:t>Minister on the use of the powers listed above. After the cessation of each surveillance device or telecommunications interception and access warrant, the Commission also provides the Minister for Home Affairs with reports on each warrant obtained and its usefulness.</w:t>
      </w:r>
    </w:p>
    <w:p w14:paraId="72947BB1" w14:textId="06500B5B" w:rsidR="00787BE1" w:rsidRPr="002679AD" w:rsidRDefault="006A68B8" w:rsidP="00606532">
      <w:pPr>
        <w:pStyle w:val="Heading3"/>
        <w:spacing w:before="360" w:after="240"/>
      </w:pPr>
      <w:r w:rsidRPr="002679AD">
        <w:t>Commonwealth Auditor-General</w:t>
      </w:r>
    </w:p>
    <w:p w14:paraId="78B843B8" w14:textId="6D11808A" w:rsidR="00D101F7" w:rsidRPr="002679AD" w:rsidRDefault="00D101F7" w:rsidP="00606532">
      <w:r w:rsidRPr="002679AD">
        <w:t>As a Commonwealth entity, the</w:t>
      </w:r>
      <w:r w:rsidR="00AB7525" w:rsidRPr="002679AD">
        <w:t xml:space="preserve"> </w:t>
      </w:r>
      <w:r w:rsidRPr="002679AD">
        <w:t>Commission is within the jurisdiction of the Auditor</w:t>
      </w:r>
      <w:r w:rsidR="656D7198" w:rsidRPr="002679AD">
        <w:t>-</w:t>
      </w:r>
      <w:r w:rsidR="002E5472" w:rsidRPr="002679AD">
        <w:t>General. The</w:t>
      </w:r>
      <w:r w:rsidRPr="002679AD">
        <w:t xml:space="preserve"> Australian National Audit Office provides annual auditing of the Commission’s financial statements.</w:t>
      </w:r>
    </w:p>
    <w:p w14:paraId="7AB099B6" w14:textId="77ADEB1C" w:rsidR="19D9FA38" w:rsidRDefault="19D9FA38" w:rsidP="00606532">
      <w:pPr>
        <w:pStyle w:val="Heading3"/>
        <w:spacing w:before="360" w:after="240"/>
      </w:pPr>
      <w:r>
        <w:t xml:space="preserve">Integrity </w:t>
      </w:r>
      <w:r w:rsidR="002F3C1F" w:rsidRPr="00606532">
        <w:t>p</w:t>
      </w:r>
      <w:r w:rsidRPr="00606532">
        <w:t>artners</w:t>
      </w:r>
    </w:p>
    <w:p w14:paraId="77D28510" w14:textId="77777777" w:rsidR="00F575CC" w:rsidRDefault="615CE905" w:rsidP="00606532">
      <w:r w:rsidRPr="16D7C4F1">
        <w:t xml:space="preserve">The Commission is committed to taking a leading role in promoting integrity in </w:t>
      </w:r>
      <w:r w:rsidR="66546B38" w:rsidRPr="335006B8">
        <w:t>the Commonwealth public sector</w:t>
      </w:r>
      <w:r w:rsidRPr="335006B8">
        <w:t>.</w:t>
      </w:r>
      <w:r w:rsidRPr="16D7C4F1">
        <w:t xml:space="preserve"> It does this by:</w:t>
      </w:r>
    </w:p>
    <w:p w14:paraId="234EC3E6" w14:textId="77777777" w:rsidR="00F575CC" w:rsidRDefault="615CE905" w:rsidP="00606532">
      <w:pPr>
        <w:pStyle w:val="Bullet1"/>
      </w:pPr>
      <w:r w:rsidRPr="16D7C4F1">
        <w:t xml:space="preserve">participating in the Integrity Agencies Group, whose mission is to ensure that </w:t>
      </w:r>
      <w:r w:rsidRPr="00CF5C2B">
        <w:t>integrity</w:t>
      </w:r>
      <w:r w:rsidRPr="16D7C4F1">
        <w:t xml:space="preserve"> is at the centre of the work of the public sector and that the Australian Public Sector (APS) approach to integrity is integrated, capable, agile and transparent, and whose membership includes a subset of the Commonwealth integrity agencies</w:t>
      </w:r>
    </w:p>
    <w:p w14:paraId="1315FE8D" w14:textId="77777777" w:rsidR="00F575CC" w:rsidRDefault="615CE905" w:rsidP="00606532">
      <w:pPr>
        <w:pStyle w:val="Bullet1"/>
      </w:pPr>
      <w:r w:rsidRPr="00CF5C2B">
        <w:t>contributing</w:t>
      </w:r>
      <w:r w:rsidRPr="16D7C4F1">
        <w:t xml:space="preserve"> to broader Commonwealth integrity initiatives, including the APS </w:t>
      </w:r>
      <w:r w:rsidRPr="00606532">
        <w:t>Reform</w:t>
      </w:r>
      <w:r w:rsidRPr="16D7C4F1">
        <w:t xml:space="preserve"> Agenda.</w:t>
      </w:r>
    </w:p>
    <w:p w14:paraId="420E706D" w14:textId="5A3A8BE7" w:rsidR="615CE905" w:rsidRDefault="615CE905" w:rsidP="00606532">
      <w:r w:rsidRPr="16D7C4F1">
        <w:t>As a member of the Integrity Agencies Group, the Commission consults regularly with partner integrity agencies. The Commission’s participation in these forums supports knowledge</w:t>
      </w:r>
      <w:r>
        <w:noBreakHyphen/>
      </w:r>
      <w:r w:rsidRPr="16D7C4F1">
        <w:t>sharing and best practice in integrity policy, programming and agency operations.</w:t>
      </w:r>
    </w:p>
    <w:p w14:paraId="0C20A121" w14:textId="3512E5B1" w:rsidR="73B4116E" w:rsidRDefault="73B4116E" w:rsidP="00606532">
      <w:pPr>
        <w:pStyle w:val="Heading3"/>
        <w:spacing w:before="360" w:after="240"/>
      </w:pPr>
      <w:r>
        <w:lastRenderedPageBreak/>
        <w:t>Commonwealth integrity agencies</w:t>
      </w:r>
    </w:p>
    <w:p w14:paraId="26224F75" w14:textId="77777777" w:rsidR="00F575CC" w:rsidRDefault="07D88BB9" w:rsidP="00606532">
      <w:r w:rsidRPr="16D7C4F1">
        <w:t xml:space="preserve">Matters referred to the Commission may come within the jurisdiction of other Commonwealth </w:t>
      </w:r>
      <w:r w:rsidR="00751FB0">
        <w:t>i</w:t>
      </w:r>
      <w:r w:rsidRPr="16D7C4F1">
        <w:t>ntegrity agencies, including:</w:t>
      </w:r>
    </w:p>
    <w:p w14:paraId="243DFF69" w14:textId="77777777" w:rsidR="00F575CC" w:rsidRPr="00606532" w:rsidRDefault="07D88BB9" w:rsidP="00606532">
      <w:pPr>
        <w:pStyle w:val="Bullet1"/>
      </w:pPr>
      <w:r w:rsidRPr="00606532">
        <w:t>Commonwealth Ombudsman (and related Ombudsman appointments)</w:t>
      </w:r>
    </w:p>
    <w:p w14:paraId="7B1AA12E" w14:textId="77777777" w:rsidR="00F575CC" w:rsidRPr="00606532" w:rsidRDefault="07D88BB9" w:rsidP="00606532">
      <w:pPr>
        <w:pStyle w:val="Bullet1"/>
      </w:pPr>
      <w:r w:rsidRPr="00606532">
        <w:t>Australian Public Service Commissioner</w:t>
      </w:r>
    </w:p>
    <w:p w14:paraId="79387903" w14:textId="77777777" w:rsidR="00F575CC" w:rsidRPr="00606532" w:rsidRDefault="07D88BB9" w:rsidP="00606532">
      <w:pPr>
        <w:pStyle w:val="Bullet1"/>
      </w:pPr>
      <w:r w:rsidRPr="00606532">
        <w:t>Merit Protection Commissioner</w:t>
      </w:r>
    </w:p>
    <w:p w14:paraId="04B8A1EB" w14:textId="77777777" w:rsidR="00F575CC" w:rsidRPr="00606532" w:rsidRDefault="07D88BB9" w:rsidP="00606532">
      <w:pPr>
        <w:pStyle w:val="Bullet1"/>
      </w:pPr>
      <w:r w:rsidRPr="00606532">
        <w:t>Auditor</w:t>
      </w:r>
      <w:r w:rsidR="00CF5C2B" w:rsidRPr="00606532">
        <w:t>-</w:t>
      </w:r>
      <w:r w:rsidRPr="00606532">
        <w:t>General</w:t>
      </w:r>
    </w:p>
    <w:p w14:paraId="345CB9CA" w14:textId="77777777" w:rsidR="00F575CC" w:rsidRPr="00606532" w:rsidRDefault="07D88BB9" w:rsidP="00606532">
      <w:pPr>
        <w:pStyle w:val="Bullet1"/>
      </w:pPr>
      <w:r w:rsidRPr="00606532">
        <w:t>AFP Commissioner</w:t>
      </w:r>
    </w:p>
    <w:p w14:paraId="79D18EE3" w14:textId="77777777" w:rsidR="00F575CC" w:rsidRPr="00606532" w:rsidRDefault="07D88BB9" w:rsidP="00606532">
      <w:pPr>
        <w:pStyle w:val="Bullet1"/>
      </w:pPr>
      <w:r w:rsidRPr="00606532">
        <w:t>Parliamentary Service Commissioner</w:t>
      </w:r>
    </w:p>
    <w:p w14:paraId="54293C63" w14:textId="77777777" w:rsidR="00F575CC" w:rsidRPr="00606532" w:rsidRDefault="07D88BB9" w:rsidP="00606532">
      <w:pPr>
        <w:pStyle w:val="Bullet1"/>
      </w:pPr>
      <w:r w:rsidRPr="00606532">
        <w:t>Parliamentary Service Merit Protection Commissioner</w:t>
      </w:r>
    </w:p>
    <w:p w14:paraId="0DD6B8BB" w14:textId="77777777" w:rsidR="00F575CC" w:rsidRPr="00606532" w:rsidRDefault="07D88BB9" w:rsidP="00606532">
      <w:pPr>
        <w:pStyle w:val="Bullet1"/>
      </w:pPr>
      <w:r w:rsidRPr="00606532">
        <w:t>Australian Information Commissioner</w:t>
      </w:r>
    </w:p>
    <w:p w14:paraId="3493C825" w14:textId="77777777" w:rsidR="00F575CC" w:rsidRPr="00606532" w:rsidRDefault="07D88BB9" w:rsidP="00606532">
      <w:pPr>
        <w:pStyle w:val="Bullet1"/>
      </w:pPr>
      <w:r w:rsidRPr="00606532">
        <w:t>CEO of the Australian Crime Commission</w:t>
      </w:r>
    </w:p>
    <w:p w14:paraId="16A9AC95" w14:textId="77777777" w:rsidR="00F575CC" w:rsidRPr="00606532" w:rsidRDefault="07D88BB9" w:rsidP="00606532">
      <w:pPr>
        <w:pStyle w:val="Bullet1"/>
      </w:pPr>
      <w:r w:rsidRPr="00606532">
        <w:t>Inspector</w:t>
      </w:r>
      <w:r w:rsidR="00CF5C2B" w:rsidRPr="00606532">
        <w:t>-</w:t>
      </w:r>
      <w:r w:rsidRPr="00606532">
        <w:t>General of Intelligence and Security (IGIS)</w:t>
      </w:r>
    </w:p>
    <w:p w14:paraId="02AF453A" w14:textId="77777777" w:rsidR="00F575CC" w:rsidRPr="00606532" w:rsidRDefault="07D88BB9" w:rsidP="00606532">
      <w:pPr>
        <w:pStyle w:val="Bullet1"/>
      </w:pPr>
      <w:r w:rsidRPr="00606532">
        <w:t>Inspector</w:t>
      </w:r>
      <w:r w:rsidR="00CF5C2B" w:rsidRPr="00606532">
        <w:t>-</w:t>
      </w:r>
      <w:r w:rsidRPr="00606532">
        <w:t>General of Taxation</w:t>
      </w:r>
    </w:p>
    <w:p w14:paraId="125862BB" w14:textId="1BBB7CCB" w:rsidR="07D88BB9" w:rsidRPr="00606532" w:rsidRDefault="07D88BB9" w:rsidP="00606532">
      <w:pPr>
        <w:pStyle w:val="Bullet1"/>
      </w:pPr>
      <w:r w:rsidRPr="00606532">
        <w:t>Chief Executive Officer of the Tertiary Education Quality and Standards Agency</w:t>
      </w:r>
    </w:p>
    <w:p w14:paraId="26D0EC93" w14:textId="77777777" w:rsidR="00F575CC" w:rsidRPr="00606532" w:rsidRDefault="1DB9C76E" w:rsidP="00606532">
      <w:pPr>
        <w:pStyle w:val="Bullet1"/>
      </w:pPr>
      <w:r w:rsidRPr="00606532">
        <w:t>Insp</w:t>
      </w:r>
      <w:r w:rsidR="07D88BB9" w:rsidRPr="00606532">
        <w:t>ector</w:t>
      </w:r>
      <w:r w:rsidR="00CF5C2B" w:rsidRPr="00606532">
        <w:t>-</w:t>
      </w:r>
      <w:r w:rsidR="07D88BB9" w:rsidRPr="00606532">
        <w:t>General of Biosecurity</w:t>
      </w:r>
    </w:p>
    <w:p w14:paraId="6F7CBFE7" w14:textId="77777777" w:rsidR="00F575CC" w:rsidRPr="00606532" w:rsidRDefault="07D88BB9" w:rsidP="00606532">
      <w:pPr>
        <w:pStyle w:val="Bullet1"/>
      </w:pPr>
      <w:r w:rsidRPr="00606532">
        <w:t>Inspector</w:t>
      </w:r>
      <w:r w:rsidR="00CF5C2B" w:rsidRPr="00606532">
        <w:t>-</w:t>
      </w:r>
      <w:r w:rsidRPr="00606532">
        <w:t>General of Live Animal Exports</w:t>
      </w:r>
    </w:p>
    <w:p w14:paraId="25DD9581" w14:textId="77777777" w:rsidR="00F575CC" w:rsidRPr="00606532" w:rsidRDefault="07D88BB9" w:rsidP="00606532">
      <w:pPr>
        <w:pStyle w:val="Bullet1"/>
      </w:pPr>
      <w:r w:rsidRPr="00606532">
        <w:t>Inspector</w:t>
      </w:r>
      <w:r w:rsidR="00CF5C2B" w:rsidRPr="00606532">
        <w:t>-</w:t>
      </w:r>
      <w:r w:rsidRPr="00606532">
        <w:t>General of Water Compliance</w:t>
      </w:r>
    </w:p>
    <w:p w14:paraId="4E22968F" w14:textId="77777777" w:rsidR="00F575CC" w:rsidRPr="00606532" w:rsidRDefault="07D88BB9" w:rsidP="00606532">
      <w:pPr>
        <w:pStyle w:val="Bullet1"/>
      </w:pPr>
      <w:r w:rsidRPr="00606532">
        <w:t>Inspector</w:t>
      </w:r>
      <w:r w:rsidR="00CF5C2B" w:rsidRPr="00606532">
        <w:t>-</w:t>
      </w:r>
      <w:r w:rsidRPr="00606532">
        <w:t>General of the Australian Defence Force.</w:t>
      </w:r>
    </w:p>
    <w:p w14:paraId="4BFF99ED" w14:textId="77777777" w:rsidR="00F575CC" w:rsidRDefault="07D88BB9" w:rsidP="00606532">
      <w:r w:rsidRPr="16D7C4F1">
        <w:t>Functions of the Commission include overseeing investigations into corruption issues conducted by other Commonwealth agencies.</w:t>
      </w:r>
    </w:p>
    <w:p w14:paraId="36EAAD9F" w14:textId="16C984FD" w:rsidR="07D88BB9" w:rsidRDefault="07D88BB9" w:rsidP="00606532">
      <w:r w:rsidRPr="16D7C4F1">
        <w:lastRenderedPageBreak/>
        <w:t xml:space="preserve">The Commission’s approach is guided by the principle of complementarity. Where another integrity agency is better placed or more appropriately equipped to deal with a corruption issue, the Commission will </w:t>
      </w:r>
      <w:r w:rsidR="68A718EC" w:rsidRPr="335006B8">
        <w:t>usually</w:t>
      </w:r>
      <w:r w:rsidRPr="16D7C4F1">
        <w:t xml:space="preserve"> refer the corruption issue to that agency. This will depend on the nature of the corruption issue and the capacity of the integrity agency to undertake the investigation and any perceptions of partiality that may arise. The Commission can also undertake a joint investigation with another agenc</w:t>
      </w:r>
      <w:r w:rsidR="00D62320">
        <w:t>y.</w:t>
      </w:r>
    </w:p>
    <w:p w14:paraId="454E5A2D" w14:textId="1D5DC43F" w:rsidR="0700B14D" w:rsidRDefault="0700B14D" w:rsidP="00606532">
      <w:r w:rsidRPr="16D7C4F1">
        <w:rPr>
          <w:lang w:val="en-GB"/>
        </w:rPr>
        <w:t xml:space="preserve">If a Commonwealth integrity agency has </w:t>
      </w:r>
      <w:r w:rsidR="00D62320">
        <w:rPr>
          <w:lang w:val="en-GB"/>
        </w:rPr>
        <w:t>p</w:t>
      </w:r>
      <w:r w:rsidRPr="16D7C4F1">
        <w:rPr>
          <w:lang w:val="en-GB"/>
        </w:rPr>
        <w:t>reviously concluded an investigation into a matter regarding the conduct of a public official, the Commission may only investigate the corruption issue if the Commissioner is satisfied that doing so is in the public interest.</w:t>
      </w:r>
    </w:p>
    <w:p w14:paraId="24509FB2" w14:textId="77777777" w:rsidR="0700B14D" w:rsidRDefault="0700B14D" w:rsidP="00606532">
      <w:pPr>
        <w:pStyle w:val="Heading3"/>
        <w:spacing w:before="360" w:after="240"/>
        <w:rPr>
          <w:lang w:val="en-GB"/>
        </w:rPr>
      </w:pPr>
      <w:r w:rsidRPr="00606532">
        <w:t>Intelligence</w:t>
      </w:r>
      <w:r w:rsidRPr="16D7C4F1">
        <w:rPr>
          <w:lang w:val="en-GB"/>
        </w:rPr>
        <w:t xml:space="preserve"> agencies</w:t>
      </w:r>
    </w:p>
    <w:p w14:paraId="42321756" w14:textId="77777777" w:rsidR="0700B14D" w:rsidRDefault="0700B14D" w:rsidP="00606532">
      <w:pPr>
        <w:rPr>
          <w:lang w:val="en-GB"/>
        </w:rPr>
      </w:pPr>
      <w:r w:rsidRPr="16D7C4F1">
        <w:rPr>
          <w:lang w:val="en-GB"/>
        </w:rPr>
        <w:t>The Commission’s jurisdiction includes intelligence agencies and overlaps with that of the IGIS. If the Commission becomes aware that a corruption issue relates in any way to a security matter, the Commission must consult with the head of the Australian Security Intelligence Organisation.</w:t>
      </w:r>
    </w:p>
    <w:p w14:paraId="7C62024D" w14:textId="77777777" w:rsidR="0700B14D" w:rsidRDefault="0700B14D" w:rsidP="00606532">
      <w:pPr>
        <w:rPr>
          <w:lang w:val="en-GB"/>
        </w:rPr>
      </w:pPr>
      <w:r w:rsidRPr="16D7C4F1">
        <w:rPr>
          <w:lang w:val="en-GB"/>
        </w:rPr>
        <w:t>If the Commission intends to exercise a power to require an IGIS official to give information or produce a document or thing that originated from, was collected by, or concerns the activities of an intelligence agency, the Commission must first consult the head of the intelligence agency and must consider, but is not bound by, the views of that head.</w:t>
      </w:r>
    </w:p>
    <w:p w14:paraId="5372402F" w14:textId="4010DA18" w:rsidR="0700B14D" w:rsidRDefault="0700B14D" w:rsidP="00606532">
      <w:r w:rsidRPr="16D7C4F1">
        <w:rPr>
          <w:lang w:val="en-GB"/>
        </w:rPr>
        <w:t xml:space="preserve">The Commission </w:t>
      </w:r>
      <w:r w:rsidR="7932606B" w:rsidRPr="16D7C4F1">
        <w:rPr>
          <w:lang w:val="en-GB"/>
        </w:rPr>
        <w:t>has</w:t>
      </w:r>
      <w:r w:rsidRPr="16D7C4F1">
        <w:rPr>
          <w:lang w:val="en-GB"/>
        </w:rPr>
        <w:t xml:space="preserve"> negotiat</w:t>
      </w:r>
      <w:r w:rsidR="0E3DB4F7" w:rsidRPr="16D7C4F1">
        <w:rPr>
          <w:lang w:val="en-GB"/>
        </w:rPr>
        <w:t>ed</w:t>
      </w:r>
      <w:r w:rsidRPr="16D7C4F1">
        <w:rPr>
          <w:lang w:val="en-GB"/>
        </w:rPr>
        <w:t xml:space="preserve"> an arrangement with heads of agencies within the National Intelligence Community, as required by section 239(1) of the NACC Act, relating to obtaining, storing, accessing, using or disclosing intelligence information relating to an intelligence agency.</w:t>
      </w:r>
    </w:p>
    <w:p w14:paraId="74AC7D6A" w14:textId="77777777" w:rsidR="50A1B39C" w:rsidRDefault="50A1B39C" w:rsidP="00606532">
      <w:pPr>
        <w:pStyle w:val="Heading3"/>
        <w:spacing w:before="360" w:after="240"/>
      </w:pPr>
      <w:r>
        <w:lastRenderedPageBreak/>
        <w:t xml:space="preserve">Australian </w:t>
      </w:r>
      <w:r w:rsidRPr="00606532">
        <w:t>Parliament</w:t>
      </w:r>
    </w:p>
    <w:p w14:paraId="52CFBAA9" w14:textId="77777777" w:rsidR="50A1B39C" w:rsidRDefault="50A1B39C" w:rsidP="00606532">
      <w:r>
        <w:t>The Commission engages with the Parliament to increase awareness and understanding of the various obligations under the NACC Act as they apply to parliamentarians and their staff. In addition, this engagement aims to promote integrity in public office.</w:t>
      </w:r>
    </w:p>
    <w:p w14:paraId="2684DB74" w14:textId="77777777" w:rsidR="50A1B39C" w:rsidRDefault="50A1B39C" w:rsidP="00606532">
      <w:r>
        <w:t>Parliamentarians are agency heads under the NACC Act and are subject to the same mandatory reporting obligations as other Commonwealth agency heads.</w:t>
      </w:r>
    </w:p>
    <w:p w14:paraId="7D91A737" w14:textId="77777777" w:rsidR="50A1B39C" w:rsidRDefault="50A1B39C" w:rsidP="00606532">
      <w:r>
        <w:t>The powers of the Commission are subject to and do not override parliamentary privilege (the law relating to the powers, privileges and immunities of each House of Parliament, the members of each House, or the committees of each House and joint committees of both Houses).</w:t>
      </w:r>
    </w:p>
    <w:p w14:paraId="649337A2" w14:textId="4B080B7D" w:rsidR="50A1B39C" w:rsidRDefault="50A1B39C" w:rsidP="00606532">
      <w:r>
        <w:t xml:space="preserve">The Parliament recognises that the Commission’s functions include the investigation of suspected corrupt conduct involving </w:t>
      </w:r>
      <w:r w:rsidR="00AB5B2E">
        <w:t>p</w:t>
      </w:r>
      <w:r>
        <w:t>arliamentarians and their staff.</w:t>
      </w:r>
    </w:p>
    <w:p w14:paraId="16BAF425" w14:textId="4739D30B" w:rsidR="50A1B39C" w:rsidRDefault="50A1B39C" w:rsidP="00606532">
      <w:r>
        <w:t>The Commission has a Memorandum of Understanding (MOU) with the Attorney-General, the President of the Senate and the Speaker of the House of Representatives. The MOU establishes agreed processes for the exercise of the Commission’s powers in circumstances where issues of parliamentary privilege could arise, to ensure that parliamentary privilege is respected while permissible action by the Commission to detect and investigate corrupt conduct is not inhibited.</w:t>
      </w:r>
    </w:p>
    <w:p w14:paraId="7680F192" w14:textId="561B2A1D" w:rsidR="00A171EB" w:rsidRPr="00D101F7" w:rsidRDefault="00A171EB" w:rsidP="00606532">
      <w:pPr>
        <w:pStyle w:val="Heading3"/>
        <w:spacing w:before="360" w:after="240"/>
        <w:rPr>
          <w:lang w:val="en-GB"/>
        </w:rPr>
      </w:pPr>
      <w:bookmarkStart w:id="61" w:name="_Toc221793672"/>
      <w:bookmarkStart w:id="62" w:name="_Toc221793692"/>
      <w:r w:rsidRPr="00606532">
        <w:t>Department</w:t>
      </w:r>
      <w:r w:rsidRPr="16D7C4F1">
        <w:rPr>
          <w:lang w:val="en-GB"/>
        </w:rPr>
        <w:t xml:space="preserve"> of Foreign Affairs</w:t>
      </w:r>
      <w:r w:rsidR="00D319A6">
        <w:rPr>
          <w:lang w:val="en-GB"/>
        </w:rPr>
        <w:t xml:space="preserve"> and Trade</w:t>
      </w:r>
    </w:p>
    <w:p w14:paraId="4BC06D7E" w14:textId="44EFD08E" w:rsidR="00A171EB" w:rsidRPr="00D101F7" w:rsidRDefault="00A171EB" w:rsidP="00606532">
      <w:pPr>
        <w:rPr>
          <w:lang w:val="en-GB"/>
        </w:rPr>
      </w:pPr>
      <w:r w:rsidRPr="00D101F7">
        <w:rPr>
          <w:lang w:val="en-GB"/>
        </w:rPr>
        <w:t>As required by the NACC Act, the Commission must consult with the Secretary of the Department of Foreign Affairs</w:t>
      </w:r>
      <w:r w:rsidR="00D319A6">
        <w:rPr>
          <w:lang w:val="en-GB"/>
        </w:rPr>
        <w:t xml:space="preserve"> and Trade</w:t>
      </w:r>
      <w:r w:rsidRPr="00D101F7">
        <w:rPr>
          <w:lang w:val="en-GB"/>
        </w:rPr>
        <w:t xml:space="preserve"> (DFAT) if</w:t>
      </w:r>
      <w:r>
        <w:rPr>
          <w:lang w:val="en-GB"/>
        </w:rPr>
        <w:t xml:space="preserve"> </w:t>
      </w:r>
      <w:r w:rsidRPr="00D101F7">
        <w:rPr>
          <w:lang w:val="en-GB"/>
        </w:rPr>
        <w:t>a</w:t>
      </w:r>
      <w:r>
        <w:rPr>
          <w:lang w:val="en-GB"/>
        </w:rPr>
        <w:t xml:space="preserve"> </w:t>
      </w:r>
      <w:r w:rsidRPr="00D101F7">
        <w:rPr>
          <w:lang w:val="en-GB"/>
        </w:rPr>
        <w:t>corruption investigation or a public inquiry relates to:</w:t>
      </w:r>
    </w:p>
    <w:p w14:paraId="30355391" w14:textId="77777777" w:rsidR="00A171EB" w:rsidRPr="00606532" w:rsidRDefault="00A171EB" w:rsidP="00606532">
      <w:pPr>
        <w:pStyle w:val="Bullet1"/>
      </w:pPr>
      <w:r w:rsidRPr="00606532">
        <w:t>a foreign official</w:t>
      </w:r>
    </w:p>
    <w:p w14:paraId="08D39E85" w14:textId="77777777" w:rsidR="00A171EB" w:rsidRPr="00606532" w:rsidRDefault="00A171EB" w:rsidP="00606532">
      <w:pPr>
        <w:pStyle w:val="Bullet1"/>
      </w:pPr>
      <w:r w:rsidRPr="00606532">
        <w:lastRenderedPageBreak/>
        <w:t>conduct in a foreign country of a person who is not an Australian citizen or permanent resident.</w:t>
      </w:r>
    </w:p>
    <w:p w14:paraId="39751AAD" w14:textId="77777777" w:rsidR="00A171EB" w:rsidRPr="00D101F7" w:rsidRDefault="00A171EB" w:rsidP="00606532">
      <w:pPr>
        <w:rPr>
          <w:lang w:val="en-GB"/>
        </w:rPr>
      </w:pPr>
      <w:r w:rsidRPr="00D101F7">
        <w:rPr>
          <w:lang w:val="en-GB"/>
        </w:rPr>
        <w:t>It will do so via an already established process and points of contact, and mindful of the wider national interests potentially at stake in that context.</w:t>
      </w:r>
    </w:p>
    <w:p w14:paraId="5C8D27D4" w14:textId="3B6945D2" w:rsidR="00A171EB" w:rsidRPr="00D101F7" w:rsidRDefault="74945F21" w:rsidP="00606532">
      <w:r w:rsidRPr="16D7C4F1">
        <w:rPr>
          <w:lang w:val="en-GB"/>
        </w:rPr>
        <w:t>The Commission recognises that corruption is a transnational issue that does not respect national boundaries. Accordingly, the Commission contributes to global anti-corruption efforts through engagement with other national anti-corruption agencies, and participation in regional and international anti-corruption forums. In this respect, the Commission is particularly focused on cooperation with Pacific Island countries to build their anti-corruption capacity. It will continue to work cooperatively with DFAT in these forums.</w:t>
      </w:r>
    </w:p>
    <w:p w14:paraId="2F75652E" w14:textId="3ED3132E" w:rsidR="000326A9" w:rsidRPr="002679AD" w:rsidRDefault="000326A9" w:rsidP="00606532">
      <w:pPr>
        <w:pStyle w:val="Heading3"/>
        <w:spacing w:before="360" w:after="240"/>
      </w:pPr>
      <w:r>
        <w:t xml:space="preserve">Domestic and </w:t>
      </w:r>
      <w:r w:rsidRPr="00606532">
        <w:t>international</w:t>
      </w:r>
      <w:r>
        <w:t xml:space="preserve"> partners</w:t>
      </w:r>
    </w:p>
    <w:p w14:paraId="18F8BD97" w14:textId="77777777" w:rsidR="00F575CC" w:rsidRDefault="000326A9" w:rsidP="00606532">
      <w:r w:rsidRPr="002679AD">
        <w:t xml:space="preserve">The Commission works </w:t>
      </w:r>
      <w:r w:rsidR="00F31EBF">
        <w:t xml:space="preserve">cooperatively </w:t>
      </w:r>
      <w:r w:rsidRPr="002679AD">
        <w:t>with the Attorney-General’s</w:t>
      </w:r>
      <w:r w:rsidR="00AE455E" w:rsidRPr="002679AD">
        <w:t xml:space="preserve"> </w:t>
      </w:r>
      <w:r w:rsidRPr="002679AD">
        <w:t>Department and the Department of Home Affairs to support the development of domestic anti-corruption policy and engagement in a range of international anti-corruption efforts.</w:t>
      </w:r>
    </w:p>
    <w:p w14:paraId="418660EB" w14:textId="77777777" w:rsidR="00F575CC" w:rsidRDefault="191EA393" w:rsidP="00606532">
      <w:pPr>
        <w:pStyle w:val="Heading3"/>
        <w:spacing w:before="360" w:after="240"/>
      </w:pPr>
      <w:r>
        <w:t xml:space="preserve">State and </w:t>
      </w:r>
      <w:r w:rsidR="00F43B55">
        <w:t>t</w:t>
      </w:r>
      <w:r>
        <w:t xml:space="preserve">erritory </w:t>
      </w:r>
      <w:r w:rsidRPr="00606532">
        <w:t>government</w:t>
      </w:r>
      <w:r>
        <w:t xml:space="preserve"> agencies</w:t>
      </w:r>
    </w:p>
    <w:p w14:paraId="7834A484" w14:textId="436CD4C8" w:rsidR="00620FA4" w:rsidRPr="002679AD" w:rsidRDefault="00620FA4" w:rsidP="00606532">
      <w:r w:rsidRPr="002679AD">
        <w:t xml:space="preserve">The Commission regularly engages with state and territory </w:t>
      </w:r>
      <w:r w:rsidR="00F16ABA">
        <w:t xml:space="preserve">law enforcement, </w:t>
      </w:r>
      <w:r w:rsidRPr="002679AD">
        <w:t xml:space="preserve">anti-corruption and integrity commissions through established forums, including the Commissioners and CEOs </w:t>
      </w:r>
      <w:r w:rsidR="002D51F8">
        <w:t>f</w:t>
      </w:r>
      <w:r w:rsidRPr="002679AD">
        <w:t xml:space="preserve">orum, the </w:t>
      </w:r>
      <w:r w:rsidR="00533243" w:rsidRPr="002679AD">
        <w:t>Assessments Community of Practice</w:t>
      </w:r>
      <w:r w:rsidR="00E5292E" w:rsidRPr="002679AD">
        <w:t xml:space="preserve"> (CoP)</w:t>
      </w:r>
      <w:r w:rsidR="00533243" w:rsidRPr="002679AD">
        <w:t xml:space="preserve">, </w:t>
      </w:r>
      <w:r w:rsidRPr="002679AD">
        <w:t xml:space="preserve">the Capabilities </w:t>
      </w:r>
      <w:r w:rsidR="00E5292E" w:rsidRPr="002679AD">
        <w:t>CoP</w:t>
      </w:r>
      <w:r w:rsidRPr="002679AD">
        <w:t xml:space="preserve">, the Witness Liaison </w:t>
      </w:r>
      <w:r w:rsidR="00E5292E" w:rsidRPr="002679AD">
        <w:t>CoP</w:t>
      </w:r>
      <w:r w:rsidRPr="002679AD">
        <w:t>, the Prevention Practitioners Forum</w:t>
      </w:r>
      <w:r w:rsidR="008638E6" w:rsidRPr="002679AD">
        <w:t xml:space="preserve">, the National Anti-corruption </w:t>
      </w:r>
      <w:r w:rsidR="004C3565" w:rsidRPr="002679AD">
        <w:t>Investigation Network, the National Investigation</w:t>
      </w:r>
      <w:r w:rsidR="00D85D86" w:rsidRPr="002679AD">
        <w:t>s</w:t>
      </w:r>
      <w:r w:rsidR="004C3565" w:rsidRPr="002679AD">
        <w:t xml:space="preserve"> Symposium </w:t>
      </w:r>
      <w:r w:rsidRPr="002679AD">
        <w:t xml:space="preserve">and the Australian Public </w:t>
      </w:r>
      <w:r w:rsidR="004F3124">
        <w:t>Sector</w:t>
      </w:r>
      <w:r w:rsidRPr="002679AD">
        <w:t xml:space="preserve"> Anti-Corruption Conference. Participation in these forums supports knowledge-sharing and the development of best practice in integrity policy,</w:t>
      </w:r>
      <w:r w:rsidR="00DA003A" w:rsidRPr="002679AD">
        <w:t xml:space="preserve"> </w:t>
      </w:r>
      <w:r w:rsidRPr="002679AD">
        <w:t>programs and operational approaches.</w:t>
      </w:r>
    </w:p>
    <w:p w14:paraId="4F92CE9F" w14:textId="1DF87877" w:rsidR="002209C8" w:rsidRPr="002679AD" w:rsidRDefault="002209C8" w:rsidP="00606532">
      <w:pPr>
        <w:pStyle w:val="Heading2"/>
        <w:spacing w:before="360" w:after="240"/>
      </w:pPr>
      <w:bookmarkStart w:id="63" w:name="_Toc236917911"/>
      <w:r w:rsidRPr="00606532">
        <w:lastRenderedPageBreak/>
        <w:t>Capability</w:t>
      </w:r>
      <w:bookmarkEnd w:id="61"/>
      <w:bookmarkEnd w:id="62"/>
      <w:bookmarkEnd w:id="63"/>
    </w:p>
    <w:p w14:paraId="4E0D816D" w14:textId="73085930" w:rsidR="002209C8" w:rsidRPr="002679AD" w:rsidRDefault="1750E435" w:rsidP="00606532">
      <w:pPr>
        <w:pStyle w:val="Heading3"/>
        <w:spacing w:before="360" w:after="240"/>
      </w:pPr>
      <w:r w:rsidRPr="00606532">
        <w:t>Workforce</w:t>
      </w:r>
    </w:p>
    <w:p w14:paraId="7D840CDE" w14:textId="77777777" w:rsidR="00F575CC" w:rsidRDefault="31AB6ECE" w:rsidP="009E669C">
      <w:r w:rsidRPr="16D7C4F1">
        <w:t>The Commission’s executive comprises the National Anti</w:t>
      </w:r>
      <w:r w:rsidR="006F2216">
        <w:noBreakHyphen/>
      </w:r>
      <w:r w:rsidRPr="16D7C4F1">
        <w:t xml:space="preserve">Corruption Commissioner (Commissioner), the CEO, 3 Deputy Commissioners and 6 </w:t>
      </w:r>
      <w:r w:rsidR="00326781">
        <w:t>G</w:t>
      </w:r>
      <w:r w:rsidRPr="16D7C4F1">
        <w:t xml:space="preserve">eneral </w:t>
      </w:r>
      <w:r w:rsidR="00326781">
        <w:t>M</w:t>
      </w:r>
      <w:r w:rsidRPr="16D7C4F1">
        <w:t xml:space="preserve">anagers at the Senior Executive Service (SES) level. The organisational structure of the Commission is shown in Figure </w:t>
      </w:r>
      <w:r w:rsidR="44C218D5" w:rsidRPr="16D7C4F1">
        <w:t>2</w:t>
      </w:r>
      <w:r w:rsidRPr="16D7C4F1">
        <w:t>.</w:t>
      </w:r>
    </w:p>
    <w:p w14:paraId="51876776" w14:textId="77777777" w:rsidR="00F575CC" w:rsidRDefault="31AB6ECE" w:rsidP="009E669C">
      <w:r w:rsidRPr="16D7C4F1">
        <w:t>The Commissioner is responsible for all operational matters within the Commission. The 3 Deputy Commissioners report directly to the Commissioner and assist them in managing the Commission’s functions under the NACC Act.</w:t>
      </w:r>
    </w:p>
    <w:p w14:paraId="7D0BE083" w14:textId="77777777" w:rsidR="00F575CC" w:rsidRDefault="31AB6ECE" w:rsidP="009E669C">
      <w:r w:rsidRPr="16D7C4F1">
        <w:t xml:space="preserve">The </w:t>
      </w:r>
      <w:r w:rsidR="00326781">
        <w:t>G</w:t>
      </w:r>
      <w:r w:rsidRPr="16D7C4F1">
        <w:t xml:space="preserve">eneral </w:t>
      </w:r>
      <w:r w:rsidR="00326781">
        <w:t>M</w:t>
      </w:r>
      <w:r w:rsidRPr="16D7C4F1">
        <w:t>anagers are each responsible for one of the Commission’s 6 branches:</w:t>
      </w:r>
    </w:p>
    <w:p w14:paraId="69543DA6" w14:textId="005FFA24" w:rsidR="006F2216" w:rsidRPr="009E669C" w:rsidRDefault="31AB6ECE" w:rsidP="009E669C">
      <w:pPr>
        <w:pStyle w:val="Bullet1"/>
      </w:pPr>
      <w:r w:rsidRPr="009E669C">
        <w:t>Enabling Services</w:t>
      </w:r>
    </w:p>
    <w:p w14:paraId="4C5E9ED0" w14:textId="07D43E4E" w:rsidR="006F2216" w:rsidRPr="009E669C" w:rsidRDefault="31AB6ECE" w:rsidP="009E669C">
      <w:pPr>
        <w:pStyle w:val="Bullet1"/>
      </w:pPr>
      <w:r w:rsidRPr="009E669C">
        <w:t>Evaluation</w:t>
      </w:r>
    </w:p>
    <w:p w14:paraId="092814AB" w14:textId="32E0862D" w:rsidR="006F2216" w:rsidRPr="009E669C" w:rsidRDefault="31AB6ECE" w:rsidP="009E669C">
      <w:pPr>
        <w:pStyle w:val="Bullet1"/>
      </w:pPr>
      <w:r w:rsidRPr="009E669C">
        <w:t>Legal</w:t>
      </w:r>
    </w:p>
    <w:p w14:paraId="0BD29600" w14:textId="7466E7B6" w:rsidR="006F2216" w:rsidRPr="009E669C" w:rsidRDefault="31AB6ECE" w:rsidP="009E669C">
      <w:pPr>
        <w:pStyle w:val="Bullet1"/>
      </w:pPr>
      <w:r w:rsidRPr="009E669C">
        <w:t>Media, Communications, Corruption Prevention and Education</w:t>
      </w:r>
    </w:p>
    <w:p w14:paraId="4AC4DE85" w14:textId="2AD425DB" w:rsidR="006F2216" w:rsidRPr="009E669C" w:rsidRDefault="31AB6ECE" w:rsidP="009E669C">
      <w:pPr>
        <w:pStyle w:val="Bullet1"/>
      </w:pPr>
      <w:r w:rsidRPr="009E669C">
        <w:t>Operational Capabilities</w:t>
      </w:r>
    </w:p>
    <w:p w14:paraId="2879ECE3" w14:textId="27BD1C66" w:rsidR="006F2216" w:rsidRPr="009E669C" w:rsidRDefault="31AB6ECE" w:rsidP="009E669C">
      <w:pPr>
        <w:pStyle w:val="Bullet1"/>
      </w:pPr>
      <w:r w:rsidRPr="009E669C">
        <w:t>Operations.</w:t>
      </w:r>
    </w:p>
    <w:p w14:paraId="777C1B0B" w14:textId="317C8A66" w:rsidR="006F2216" w:rsidRDefault="31AB6ECE" w:rsidP="009E669C">
      <w:r w:rsidRPr="16D7C4F1">
        <w:t xml:space="preserve">The </w:t>
      </w:r>
      <w:r w:rsidR="00326781">
        <w:t>G</w:t>
      </w:r>
      <w:r w:rsidRPr="16D7C4F1">
        <w:t xml:space="preserve">eneral </w:t>
      </w:r>
      <w:r w:rsidR="00326781">
        <w:t>M</w:t>
      </w:r>
      <w:r w:rsidRPr="16D7C4F1">
        <w:t>anagers report to both the CEO and Commissioner.</w:t>
      </w:r>
    </w:p>
    <w:p w14:paraId="39F2C6F6" w14:textId="77777777" w:rsidR="006F2216" w:rsidRPr="002679AD" w:rsidRDefault="006F2216" w:rsidP="009E669C">
      <w:r w:rsidRPr="002679AD">
        <w:t>The number, capability, skills and experience of its staff is critical to the Commission’s ability to perform its key functions, and to fulfil its purpose efficiently and effectively.</w:t>
      </w:r>
    </w:p>
    <w:p w14:paraId="5AAE859C" w14:textId="56F60A62" w:rsidR="006F2216" w:rsidRDefault="5A839A1E" w:rsidP="006F2216">
      <w:r>
        <w:t xml:space="preserve">The Commission continues to build its workforce in line with </w:t>
      </w:r>
      <w:r w:rsidR="2EC6DDFD">
        <w:t xml:space="preserve">its ASL </w:t>
      </w:r>
      <w:r>
        <w:t>provided in the Portfolio Budget Statements 2026–27.</w:t>
      </w:r>
    </w:p>
    <w:p w14:paraId="6F267379" w14:textId="77777777" w:rsidR="006F2216" w:rsidRPr="006E62D9" w:rsidRDefault="5A839A1E" w:rsidP="5715D848">
      <w:pPr>
        <w:pStyle w:val="Heading4"/>
        <w:rPr>
          <w:b w:val="0"/>
        </w:rPr>
      </w:pPr>
      <w:r w:rsidRPr="5715D848">
        <w:rPr>
          <w:color w:val="1B598C" w:themeColor="text1"/>
        </w:rPr>
        <w:lastRenderedPageBreak/>
        <w:t xml:space="preserve">Figure 2: </w:t>
      </w:r>
      <w:r>
        <w:rPr>
          <w:b w:val="0"/>
        </w:rPr>
        <w:t>Organisational structure</w:t>
      </w:r>
    </w:p>
    <w:p w14:paraId="3128DA2D" w14:textId="77777777" w:rsidR="006F2216" w:rsidRPr="002679AD" w:rsidRDefault="006F2216" w:rsidP="006F2216">
      <w:pPr>
        <w:jc w:val="center"/>
      </w:pPr>
      <w:r w:rsidRPr="002679AD">
        <w:rPr>
          <w:noProof/>
        </w:rPr>
        <w:drawing>
          <wp:inline distT="0" distB="0" distL="0" distR="0" wp14:anchorId="0746B583" wp14:editId="66C0284D">
            <wp:extent cx="5055938" cy="3467146"/>
            <wp:effectExtent l="0" t="0" r="0" b="0"/>
            <wp:docPr id="186224865" name="Picture 1" descr="The text version of the diagram is abov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52492" name="Picture 1" descr="The text version of the diagram is above i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68012" cy="3475426"/>
                    </a:xfrm>
                    <a:prstGeom prst="rect">
                      <a:avLst/>
                    </a:prstGeom>
                  </pic:spPr>
                </pic:pic>
              </a:graphicData>
            </a:graphic>
          </wp:inline>
        </w:drawing>
      </w:r>
    </w:p>
    <w:p w14:paraId="5A5D3130" w14:textId="5B96BFE1" w:rsidR="00BA5AD8" w:rsidRPr="002679AD" w:rsidRDefault="63B6BB4B" w:rsidP="000C4823">
      <w:pPr>
        <w:pStyle w:val="Heading3"/>
        <w:spacing w:before="360" w:after="240"/>
      </w:pPr>
      <w:r>
        <w:t>Recruitment</w:t>
      </w:r>
      <w:r w:rsidR="004F129F">
        <w:t xml:space="preserve">, </w:t>
      </w:r>
      <w:r w:rsidR="00CE4A1B">
        <w:t>r</w:t>
      </w:r>
      <w:r>
        <w:t xml:space="preserve">etention </w:t>
      </w:r>
      <w:r w:rsidR="3282587C">
        <w:t xml:space="preserve">and </w:t>
      </w:r>
      <w:r w:rsidR="3282587C" w:rsidRPr="000C4823">
        <w:t>outsourcing</w:t>
      </w:r>
      <w:r w:rsidR="3282587C">
        <w:t xml:space="preserve"> arrangements</w:t>
      </w:r>
    </w:p>
    <w:p w14:paraId="0B9F0611" w14:textId="4CD31F1B" w:rsidR="00193F16" w:rsidRPr="002679AD" w:rsidRDefault="00193F16" w:rsidP="000C4823">
      <w:r w:rsidRPr="002679AD">
        <w:t>The Commission is focused on attracting and retaining highly skilled and motivated staff to ensure it has the capacity to effectively undertake its functions and achieve its purpose.</w:t>
      </w:r>
      <w:r w:rsidR="00141D6B" w:rsidRPr="002679AD">
        <w:t xml:space="preserve"> This will be </w:t>
      </w:r>
      <w:r w:rsidR="00F35833" w:rsidRPr="002679AD">
        <w:t>assisted</w:t>
      </w:r>
      <w:r w:rsidR="00141D6B" w:rsidRPr="002679AD">
        <w:t xml:space="preserve"> through the development and implementation of the Commission's strategic workforce plan</w:t>
      </w:r>
      <w:r w:rsidR="008F57AA" w:rsidRPr="002679AD">
        <w:t xml:space="preserve"> in late 2026</w:t>
      </w:r>
      <w:r w:rsidR="00141D6B" w:rsidRPr="002679AD">
        <w:t>.</w:t>
      </w:r>
    </w:p>
    <w:p w14:paraId="6CC1CC58" w14:textId="77777777" w:rsidR="00F575CC" w:rsidRDefault="0588236F" w:rsidP="000C4823">
      <w:r>
        <w:t xml:space="preserve">The Commission operates in line with </w:t>
      </w:r>
      <w:r w:rsidRPr="5715D848">
        <w:t>the APS Strategic Commissioning Framework. Core work is done in-house in most cases, and any outsourcing of core work is minimal and aligns with the limited circumstances permitted under the framework.</w:t>
      </w:r>
    </w:p>
    <w:p w14:paraId="445028F2" w14:textId="50C9E778" w:rsidR="00E90EA6" w:rsidRPr="006E62D9" w:rsidRDefault="020D8216" w:rsidP="000C4823">
      <w:r>
        <w:lastRenderedPageBreak/>
        <w:t xml:space="preserve">The Commission is committed to maximising in-house resources and </w:t>
      </w:r>
      <w:r w:rsidR="0097391D">
        <w:t xml:space="preserve">minimising the </w:t>
      </w:r>
      <w:r>
        <w:t>use of contractors and consultants.</w:t>
      </w:r>
      <w:r w:rsidR="22AF9315">
        <w:t xml:space="preserve"> </w:t>
      </w:r>
      <w:r>
        <w:t>However, it will continue to outsourc</w:t>
      </w:r>
      <w:r w:rsidR="1DB1E312">
        <w:t>e</w:t>
      </w:r>
      <w:r>
        <w:t xml:space="preserve"> arrangements for some elements of its core work, particularly in the information and communications technology (ICT) sector. With a competitive labour market and skills shortages, it is not currently possible for the Commission to reduce outsourced work and bring these roles in-house, in line with the </w:t>
      </w:r>
      <w:r w:rsidR="5E242CBE">
        <w:t>f</w:t>
      </w:r>
      <w:r>
        <w:t>ramework.</w:t>
      </w:r>
    </w:p>
    <w:p w14:paraId="06B66E3C" w14:textId="494CEDE9" w:rsidR="003930B1" w:rsidRPr="002679AD" w:rsidRDefault="795C41C5" w:rsidP="000C4823">
      <w:pPr>
        <w:pStyle w:val="Heading3"/>
        <w:spacing w:before="360" w:after="240"/>
      </w:pPr>
      <w:r>
        <w:t xml:space="preserve">Learning </w:t>
      </w:r>
      <w:r w:rsidRPr="000C4823">
        <w:t>and</w:t>
      </w:r>
      <w:r>
        <w:t xml:space="preserve"> </w:t>
      </w:r>
      <w:r w:rsidR="002F4A78">
        <w:t>development</w:t>
      </w:r>
    </w:p>
    <w:p w14:paraId="187B3FE2" w14:textId="77777777" w:rsidR="00F575CC" w:rsidRDefault="00011926" w:rsidP="000C4823">
      <w:r w:rsidRPr="002679AD">
        <w:t>The Commission has implemented a learning and development framework</w:t>
      </w:r>
      <w:r w:rsidR="0045710E" w:rsidRPr="002679AD">
        <w:t xml:space="preserve"> which aligns </w:t>
      </w:r>
      <w:r w:rsidR="00B96D95">
        <w:t>with</w:t>
      </w:r>
      <w:r w:rsidR="00B96D95" w:rsidRPr="002679AD">
        <w:t xml:space="preserve"> </w:t>
      </w:r>
      <w:r w:rsidR="0045710E" w:rsidRPr="002679AD">
        <w:t>the Australian Public Service (APS) Learning and Development Strategy</w:t>
      </w:r>
      <w:r w:rsidRPr="002679AD">
        <w:t>, to ensure all employees develop and maintain the necessary skills to deliver business outcomes. This</w:t>
      </w:r>
      <w:r w:rsidR="00AB7525" w:rsidRPr="002679AD">
        <w:t xml:space="preserve"> </w:t>
      </w:r>
      <w:r w:rsidRPr="002679AD">
        <w:t>framework focuses on core elements such as induction, mandatory (ongoing essential learning) and role-specific development requirements to ensure the Commission complies with and maintains its obligations to employees, contractors, the government and the Australian public.</w:t>
      </w:r>
    </w:p>
    <w:p w14:paraId="7D396C4A" w14:textId="303265E1" w:rsidR="00DD6537" w:rsidRPr="002679AD" w:rsidRDefault="00DD6537" w:rsidP="000C4823">
      <w:r w:rsidRPr="002679AD">
        <w:t xml:space="preserve">The Commission has refreshed its essential learning requirements to address key Australian Government requirements particularly in </w:t>
      </w:r>
      <w:r w:rsidR="00F12C6D" w:rsidRPr="002679AD">
        <w:t xml:space="preserve">relation to </w:t>
      </w:r>
      <w:r w:rsidRPr="002679AD">
        <w:t>cyber security awareness and the use and application of artificial intelligence.</w:t>
      </w:r>
    </w:p>
    <w:p w14:paraId="15D970FD" w14:textId="23338986" w:rsidR="00DA4C39" w:rsidRPr="006E62D9" w:rsidRDefault="219D42E3" w:rsidP="000C4823">
      <w:pPr>
        <w:pStyle w:val="Heading3"/>
        <w:spacing w:before="360" w:after="240"/>
      </w:pPr>
      <w:r>
        <w:t xml:space="preserve">Workplace </w:t>
      </w:r>
      <w:r w:rsidRPr="000C4823">
        <w:t>culture</w:t>
      </w:r>
      <w:r>
        <w:t xml:space="preserve"> and staff wellbeing</w:t>
      </w:r>
    </w:p>
    <w:p w14:paraId="7CE4734C" w14:textId="77777777" w:rsidR="00F575CC" w:rsidRDefault="499C68E3" w:rsidP="000C4823">
      <w:r>
        <w:t>Continu</w:t>
      </w:r>
      <w:r w:rsidR="00912DC1">
        <w:t>ed</w:t>
      </w:r>
      <w:r>
        <w:t xml:space="preserve"> investment</w:t>
      </w:r>
      <w:r w:rsidR="00912DC1">
        <w:t xml:space="preserve"> </w:t>
      </w:r>
      <w:r>
        <w:t>in leadership, employee wellbeing, integrity and enhancing inclusive culture strategies reinforce</w:t>
      </w:r>
      <w:r w:rsidR="00912DC1">
        <w:t>s</w:t>
      </w:r>
      <w:r>
        <w:t xml:space="preserve"> our commitment to retaining and developing talent.</w:t>
      </w:r>
    </w:p>
    <w:p w14:paraId="0158BA4C" w14:textId="15125F73" w:rsidR="00011926" w:rsidRPr="002679AD" w:rsidRDefault="00011926" w:rsidP="000C4823">
      <w:r w:rsidRPr="002679AD">
        <w:t>The</w:t>
      </w:r>
      <w:r w:rsidR="00AB7525" w:rsidRPr="002679AD">
        <w:t xml:space="preserve"> </w:t>
      </w:r>
      <w:r w:rsidRPr="002679AD">
        <w:t>Commission maintains a centralised capability development budget to ensure all employees have equitable access to learning opportunities and a consistent approach to core learning</w:t>
      </w:r>
      <w:r w:rsidR="00E9790F" w:rsidRPr="002679AD">
        <w:t xml:space="preserve"> is provided</w:t>
      </w:r>
      <w:r w:rsidRPr="002679AD">
        <w:t>.</w:t>
      </w:r>
    </w:p>
    <w:p w14:paraId="43EF9E4C" w14:textId="6A7E7887" w:rsidR="00011926" w:rsidRPr="002679AD" w:rsidRDefault="33498A07" w:rsidP="000C4823">
      <w:r>
        <w:lastRenderedPageBreak/>
        <w:t>The Commission offers initiatives to support staff in the workplace and promote their physical and mental wellbeing, including generous flexible work provisions, access to an employee assistance program</w:t>
      </w:r>
      <w:r w:rsidR="19D1BF45">
        <w:t>,</w:t>
      </w:r>
      <w:r>
        <w:t xml:space="preserve"> </w:t>
      </w:r>
      <w:r w:rsidR="19D1BF45">
        <w:t>access to health</w:t>
      </w:r>
      <w:r w:rsidR="4AB5F0B0">
        <w:t>-</w:t>
      </w:r>
      <w:r w:rsidR="19D1BF45">
        <w:t>related supports (such as annual skin checks and flu vaccination vouchers)</w:t>
      </w:r>
      <w:r>
        <w:t xml:space="preserve"> and access to an annual reimbursement</w:t>
      </w:r>
      <w:r w:rsidR="39837619">
        <w:t xml:space="preserve"> towards expenses that support improved health and wellbeing</w:t>
      </w:r>
      <w:r>
        <w:t>.</w:t>
      </w:r>
    </w:p>
    <w:p w14:paraId="2AA4085C" w14:textId="692C1C5C" w:rsidR="00011926" w:rsidRPr="002679AD" w:rsidRDefault="33498A07" w:rsidP="000C4823">
      <w:pPr>
        <w:pStyle w:val="Heading3"/>
        <w:spacing w:before="360" w:after="240"/>
      </w:pPr>
      <w:r>
        <w:t xml:space="preserve">Information and </w:t>
      </w:r>
      <w:r w:rsidRPr="000C4823">
        <w:t>communications</w:t>
      </w:r>
      <w:r>
        <w:t xml:space="preserve"> technology</w:t>
      </w:r>
    </w:p>
    <w:p w14:paraId="5E3983EE" w14:textId="77777777" w:rsidR="00F575CC" w:rsidRDefault="00011926" w:rsidP="000C4823">
      <w:r w:rsidRPr="002679AD">
        <w:t xml:space="preserve">In </w:t>
      </w:r>
      <w:r w:rsidR="5BADB9E1" w:rsidRPr="002679AD">
        <w:t>202</w:t>
      </w:r>
      <w:r w:rsidR="4905CC12" w:rsidRPr="002679AD">
        <w:t>6</w:t>
      </w:r>
      <w:r w:rsidR="5BADB9E1" w:rsidRPr="002679AD">
        <w:t>–</w:t>
      </w:r>
      <w:r w:rsidR="0FCE389B" w:rsidRPr="002679AD">
        <w:t>3</w:t>
      </w:r>
      <w:r w:rsidR="66E459BB" w:rsidRPr="002679AD">
        <w:t>0</w:t>
      </w:r>
      <w:r w:rsidRPr="002679AD">
        <w:t>, the Commission will continue to mature its ICT systems with a focus on data</w:t>
      </w:r>
      <w:r w:rsidR="0EF8AD04" w:rsidRPr="002679AD">
        <w:t xml:space="preserve"> analytics</w:t>
      </w:r>
      <w:r w:rsidRPr="002679AD">
        <w:t>, information management and operational capabilities.</w:t>
      </w:r>
    </w:p>
    <w:p w14:paraId="274ADF06" w14:textId="25A5A1B6" w:rsidR="78847149" w:rsidRPr="002679AD" w:rsidRDefault="4D99A39B" w:rsidP="000C4823">
      <w:r>
        <w:t xml:space="preserve">The Commission will develop a sound foundation </w:t>
      </w:r>
      <w:r w:rsidR="525B7A56">
        <w:t xml:space="preserve">to leverage the benefits of </w:t>
      </w:r>
      <w:r w:rsidR="7A23221A">
        <w:t>a</w:t>
      </w:r>
      <w:r w:rsidR="525B7A56">
        <w:t xml:space="preserve">rtificial </w:t>
      </w:r>
      <w:r w:rsidR="7A23221A">
        <w:t>i</w:t>
      </w:r>
      <w:r w:rsidR="525B7A56">
        <w:t xml:space="preserve">ntelligence capabilities </w:t>
      </w:r>
      <w:r w:rsidR="0C0E8958">
        <w:t xml:space="preserve">to support our workforce and </w:t>
      </w:r>
      <w:r w:rsidR="1891B0ED">
        <w:t>operational</w:t>
      </w:r>
      <w:r w:rsidR="0C0E8958">
        <w:t xml:space="preserve"> p</w:t>
      </w:r>
      <w:r w:rsidR="0616A9F8">
        <w:t>riorities</w:t>
      </w:r>
      <w:r w:rsidR="525B7A56">
        <w:t xml:space="preserve">. The Commission </w:t>
      </w:r>
      <w:r w:rsidR="1E7F34E2">
        <w:t xml:space="preserve">will develop frameworks and governance mechanisms </w:t>
      </w:r>
      <w:r w:rsidR="0AEFC5D6">
        <w:t>to</w:t>
      </w:r>
      <w:r w:rsidR="1E7F34E2">
        <w:t xml:space="preserve"> ensure </w:t>
      </w:r>
      <w:r w:rsidR="6E2A68BE">
        <w:t>a</w:t>
      </w:r>
      <w:r w:rsidR="1E7F34E2">
        <w:t xml:space="preserve">rtificial </w:t>
      </w:r>
      <w:r w:rsidR="6E2A68BE">
        <w:t>i</w:t>
      </w:r>
      <w:r w:rsidR="1E7F34E2">
        <w:t>nt</w:t>
      </w:r>
      <w:r w:rsidR="501B75BD">
        <w:t xml:space="preserve">elligence capabilities meet </w:t>
      </w:r>
      <w:r w:rsidR="4E8224CE">
        <w:t>ethical</w:t>
      </w:r>
      <w:r w:rsidR="501B75BD">
        <w:t xml:space="preserve"> and security standards</w:t>
      </w:r>
      <w:r w:rsidR="1523E764">
        <w:t>,</w:t>
      </w:r>
      <w:r w:rsidR="501B75BD">
        <w:t xml:space="preserve"> </w:t>
      </w:r>
      <w:r w:rsidR="6D84C3CF">
        <w:t>so they</w:t>
      </w:r>
      <w:r w:rsidR="53FE2B8D">
        <w:t xml:space="preserve"> </w:t>
      </w:r>
      <w:r w:rsidR="1812A388">
        <w:t>work alongside</w:t>
      </w:r>
      <w:r w:rsidR="501B75BD">
        <w:t xml:space="preserve">, </w:t>
      </w:r>
      <w:r w:rsidR="6D84C3CF">
        <w:t xml:space="preserve">and do </w:t>
      </w:r>
      <w:r w:rsidR="501B75BD">
        <w:t>not replace</w:t>
      </w:r>
      <w:r w:rsidR="1712BBEF">
        <w:t>,</w:t>
      </w:r>
      <w:r w:rsidR="501B75BD">
        <w:t xml:space="preserve"> human </w:t>
      </w:r>
      <w:r w:rsidR="38690E58">
        <w:t>reasoning.</w:t>
      </w:r>
    </w:p>
    <w:p w14:paraId="6F6157CB" w14:textId="4BD6E3E0" w:rsidR="00011926" w:rsidRPr="002679AD" w:rsidRDefault="2FD505F0" w:rsidP="000C4823">
      <w:pPr>
        <w:pStyle w:val="Heading3"/>
        <w:spacing w:before="360" w:after="240"/>
      </w:pPr>
      <w:r>
        <w:t>S</w:t>
      </w:r>
      <w:r w:rsidR="33498A07">
        <w:t xml:space="preserve">urveillance </w:t>
      </w:r>
      <w:r w:rsidR="33498A07" w:rsidRPr="000C4823">
        <w:t>capability</w:t>
      </w:r>
    </w:p>
    <w:p w14:paraId="0471F2DF" w14:textId="69F8766F" w:rsidR="00011926" w:rsidRPr="002679AD" w:rsidRDefault="00011926" w:rsidP="000C4823">
      <w:r w:rsidRPr="002679AD">
        <w:t>The availability of contemporary surveillance capabilities is critical to the Commission’s ability to perform its key functions efficiently and effectively.</w:t>
      </w:r>
    </w:p>
    <w:p w14:paraId="227F0CB0" w14:textId="450CD71B" w:rsidR="00011926" w:rsidRPr="002679AD" w:rsidRDefault="00011926" w:rsidP="000C4823">
      <w:r w:rsidRPr="002679AD">
        <w:t>The Commission works with other law</w:t>
      </w:r>
      <w:r w:rsidR="00AB7525" w:rsidRPr="002679AD">
        <w:t xml:space="preserve"> </w:t>
      </w:r>
      <w:r w:rsidRPr="002679AD">
        <w:t xml:space="preserve">enforcement agencies to ensure it has access to the </w:t>
      </w:r>
      <w:r w:rsidR="007F2F9C" w:rsidRPr="002679AD">
        <w:t xml:space="preserve">surveillance </w:t>
      </w:r>
      <w:r w:rsidRPr="002679AD">
        <w:t>capabilities needed to</w:t>
      </w:r>
      <w:r w:rsidR="00AB7525" w:rsidRPr="002679AD">
        <w:t xml:space="preserve"> </w:t>
      </w:r>
      <w:r w:rsidRPr="002679AD">
        <w:t>conduct its own investigations.</w:t>
      </w:r>
    </w:p>
    <w:p w14:paraId="49E6FE57" w14:textId="13B09228" w:rsidR="00011926" w:rsidRPr="002679AD" w:rsidRDefault="00011926" w:rsidP="000C4823">
      <w:r w:rsidRPr="002679AD">
        <w:t xml:space="preserve">The Commission prioritises working with state and territory law enforcement and integrity agencies to minimise reliance on jurisdictional agencies. During the life of this plan, the Commission will consider the efficiency of </w:t>
      </w:r>
      <w:r w:rsidR="002B6C44" w:rsidRPr="002679AD">
        <w:t xml:space="preserve">the surveillance </w:t>
      </w:r>
      <w:r w:rsidRPr="002679AD">
        <w:t>capabilities being provided by third parties and, where appropriate, will consider bringing these capabilities in-house.</w:t>
      </w:r>
    </w:p>
    <w:p w14:paraId="79826DC7" w14:textId="2D0C3F59" w:rsidR="002209C8" w:rsidRPr="002679AD" w:rsidRDefault="002209C8" w:rsidP="000C4823">
      <w:pPr>
        <w:pStyle w:val="Heading2"/>
        <w:spacing w:before="360" w:after="240"/>
      </w:pPr>
      <w:bookmarkStart w:id="64" w:name="_Toc221793673"/>
      <w:bookmarkStart w:id="65" w:name="_Toc221793693"/>
      <w:bookmarkStart w:id="66" w:name="_Toc236917912"/>
      <w:r w:rsidRPr="002679AD">
        <w:lastRenderedPageBreak/>
        <w:t xml:space="preserve">Risk </w:t>
      </w:r>
      <w:r w:rsidRPr="000C4823">
        <w:t>oversight</w:t>
      </w:r>
      <w:r w:rsidRPr="002679AD">
        <w:t xml:space="preserve"> and management</w:t>
      </w:r>
      <w:bookmarkEnd w:id="64"/>
      <w:bookmarkEnd w:id="65"/>
      <w:bookmarkEnd w:id="66"/>
    </w:p>
    <w:p w14:paraId="38E2DD18" w14:textId="77777777" w:rsidR="00C367E0" w:rsidRPr="002679AD" w:rsidRDefault="1DDFA84A" w:rsidP="000C4823">
      <w:pPr>
        <w:pStyle w:val="Heading3"/>
        <w:spacing w:before="360" w:after="240"/>
      </w:pPr>
      <w:r>
        <w:t>Integrity</w:t>
      </w:r>
    </w:p>
    <w:p w14:paraId="26CB087A" w14:textId="77777777" w:rsidR="00F575CC" w:rsidRDefault="2923977D" w:rsidP="000C4823">
      <w:r w:rsidRPr="006E62D9">
        <w:t>Maintaining high standards of integrity is core to the Commission’s commitment to set a benchmark for excellence across the APS and meet the expectations of the Australian public.</w:t>
      </w:r>
    </w:p>
    <w:p w14:paraId="3FAE6208" w14:textId="77777777" w:rsidR="00F575CC" w:rsidRDefault="2923977D" w:rsidP="000C4823">
      <w:r w:rsidRPr="006E62D9">
        <w:t>The Commission strives to uphold the highest standards of integrity, trustworthiness and effectiveness in its frameworks, policies and decision-making processes which align with the Integrity Principles set out in the Commonwealth Integrity Management Framework.</w:t>
      </w:r>
    </w:p>
    <w:p w14:paraId="2DA94CD6" w14:textId="77777777" w:rsidR="00F575CC" w:rsidRDefault="2923977D" w:rsidP="000C4823">
      <w:r w:rsidRPr="006E62D9">
        <w:t xml:space="preserve">The Commission’s integrity framework incorporates a suite of policies to support staff to manage integrity risk in their </w:t>
      </w:r>
      <w:r w:rsidR="00303339" w:rsidRPr="006E62D9">
        <w:t>day-to-day</w:t>
      </w:r>
      <w:r w:rsidRPr="006E62D9">
        <w:t xml:space="preserve"> work, including on </w:t>
      </w:r>
      <w:r w:rsidR="00303339" w:rsidRPr="006E62D9">
        <w:t>conflict</w:t>
      </w:r>
      <w:r w:rsidR="00B4237D" w:rsidRPr="006E62D9">
        <w:t>-</w:t>
      </w:r>
      <w:r w:rsidR="00303339" w:rsidRPr="006E62D9">
        <w:t>of</w:t>
      </w:r>
      <w:r w:rsidR="00B4237D" w:rsidRPr="006E62D9">
        <w:t>-</w:t>
      </w:r>
      <w:r w:rsidR="00303339" w:rsidRPr="006E62D9">
        <w:t>interest</w:t>
      </w:r>
      <w:r w:rsidRPr="006E62D9">
        <w:t xml:space="preserve"> management, gifts and benefits, secondary employment and fraud and corruption control.</w:t>
      </w:r>
    </w:p>
    <w:p w14:paraId="43CC70D8" w14:textId="61EBC9CB" w:rsidR="07AF24A8" w:rsidRPr="002679AD" w:rsidRDefault="2923977D" w:rsidP="000C4823">
      <w:r w:rsidRPr="006E62D9">
        <w:t xml:space="preserve">The Commission’s Fraud and Corruption Control Plan </w:t>
      </w:r>
      <w:r w:rsidR="00555AB5" w:rsidRPr="006E62D9">
        <w:t>include</w:t>
      </w:r>
      <w:r w:rsidR="00555AB5">
        <w:t>s</w:t>
      </w:r>
      <w:r w:rsidRPr="006E62D9">
        <w:t xml:space="preserve"> mechanisms to prevent, detect and report integrity issues. Targeted fraud and corruption risk assessments are routinely conducted to ensure control measures are adequate to protect the organisational integrity of the Commission.</w:t>
      </w:r>
    </w:p>
    <w:p w14:paraId="74E85EBC" w14:textId="77777777" w:rsidR="00C367E0" w:rsidRPr="002679AD" w:rsidRDefault="1DDFA84A" w:rsidP="000C4823">
      <w:pPr>
        <w:pStyle w:val="Heading3"/>
        <w:spacing w:before="360" w:after="240"/>
      </w:pPr>
      <w:r>
        <w:t xml:space="preserve">Risk </w:t>
      </w:r>
      <w:r w:rsidRPr="000C4823">
        <w:t>management</w:t>
      </w:r>
    </w:p>
    <w:p w14:paraId="029D0E06" w14:textId="386FDDD2" w:rsidR="005A1802" w:rsidRPr="006E62D9" w:rsidRDefault="005A1802" w:rsidP="000C4823">
      <w:r w:rsidRPr="006E62D9">
        <w:t>The Commission takes a strategic</w:t>
      </w:r>
      <w:r w:rsidR="00DA003A" w:rsidRPr="006E62D9">
        <w:t xml:space="preserve"> </w:t>
      </w:r>
      <w:r w:rsidRPr="006E62D9">
        <w:t>and</w:t>
      </w:r>
      <w:r w:rsidR="00DA003A" w:rsidRPr="006E62D9">
        <w:t xml:space="preserve"> </w:t>
      </w:r>
      <w:r w:rsidRPr="006E62D9">
        <w:t>consistent approach to managing all types of risk, including enterprise, fraud and corruption, work health and safety,</w:t>
      </w:r>
      <w:r w:rsidR="00DA003A" w:rsidRPr="006E62D9">
        <w:t xml:space="preserve"> </w:t>
      </w:r>
      <w:r w:rsidRPr="006E62D9">
        <w:t>child safe</w:t>
      </w:r>
      <w:r w:rsidR="00D27320">
        <w:t>ty</w:t>
      </w:r>
      <w:r w:rsidR="00DA003A" w:rsidRPr="006E62D9">
        <w:t xml:space="preserve"> </w:t>
      </w:r>
      <w:r w:rsidRPr="006E62D9">
        <w:t>and</w:t>
      </w:r>
      <w:r w:rsidR="00DA003A" w:rsidRPr="006E62D9">
        <w:t xml:space="preserve"> </w:t>
      </w:r>
      <w:r w:rsidRPr="006E62D9">
        <w:t>operational</w:t>
      </w:r>
      <w:r w:rsidR="00DA003A" w:rsidRPr="006E62D9">
        <w:t xml:space="preserve"> </w:t>
      </w:r>
      <w:r w:rsidRPr="006E62D9">
        <w:t>risks.</w:t>
      </w:r>
    </w:p>
    <w:p w14:paraId="7925CA3A" w14:textId="77777777" w:rsidR="00F575CC" w:rsidRDefault="005A1802" w:rsidP="000C4823">
      <w:r w:rsidRPr="006E62D9">
        <w:t xml:space="preserve">The Commission takes </w:t>
      </w:r>
      <w:r w:rsidR="00586B5F" w:rsidRPr="006E62D9">
        <w:t xml:space="preserve">a </w:t>
      </w:r>
      <w:r w:rsidRPr="006E62D9">
        <w:t>measured approach to risk</w:t>
      </w:r>
      <w:r w:rsidR="00DA003A" w:rsidRPr="006E62D9">
        <w:t xml:space="preserve"> </w:t>
      </w:r>
      <w:r w:rsidRPr="006E62D9">
        <w:t>as</w:t>
      </w:r>
      <w:r w:rsidR="00DA003A" w:rsidRPr="006E62D9">
        <w:t xml:space="preserve"> </w:t>
      </w:r>
      <w:r w:rsidRPr="006E62D9">
        <w:t>articulated in its risk appetite statement:</w:t>
      </w:r>
    </w:p>
    <w:p w14:paraId="0E8451E0" w14:textId="6154469C" w:rsidR="00C367E0" w:rsidRPr="002679AD" w:rsidRDefault="00C367E0" w:rsidP="0026417C">
      <w:pPr>
        <w:pStyle w:val="Pullquote"/>
      </w:pPr>
      <w:r w:rsidRPr="002679AD">
        <w:lastRenderedPageBreak/>
        <w:t>The Commission acknowledges risk as an unavoidable, natural part of business that</w:t>
      </w:r>
      <w:r w:rsidR="00BD31F9">
        <w:t>,</w:t>
      </w:r>
      <w:r w:rsidRPr="002679AD">
        <w:t xml:space="preserve"> when actively managed at all levels, enables the Commission to achieve its objectives. However, the Commission has no appetite for risks associated with the safety of our people and witnesses, or inadequate integrity standards within the NACC, including corruption or conduct contrary to our standing as an independent </w:t>
      </w:r>
      <w:r w:rsidR="00727552">
        <w:t>a</w:t>
      </w:r>
      <w:r w:rsidRPr="002679AD">
        <w:t>nti</w:t>
      </w:r>
      <w:r w:rsidR="00E90EA6" w:rsidRPr="002679AD">
        <w:t>-</w:t>
      </w:r>
      <w:r w:rsidRPr="002679AD">
        <w:t>corruption commission.</w:t>
      </w:r>
    </w:p>
    <w:p w14:paraId="76FB0EFE" w14:textId="20210E00" w:rsidR="0081268C" w:rsidRPr="006E62D9" w:rsidRDefault="0081268C" w:rsidP="0026417C">
      <w:r w:rsidRPr="006E62D9">
        <w:t>The Commission’s Risk Management Framework (the Framework) sets out an approach to risk oversight, management and internal control that is integrated into planning,</w:t>
      </w:r>
      <w:r w:rsidR="00DA003A" w:rsidRPr="006E62D9">
        <w:t xml:space="preserve"> </w:t>
      </w:r>
      <w:r w:rsidRPr="006E62D9">
        <w:t>decision-making</w:t>
      </w:r>
      <w:r w:rsidR="00DA003A" w:rsidRPr="006E62D9">
        <w:t xml:space="preserve"> </w:t>
      </w:r>
      <w:r w:rsidRPr="006E62D9">
        <w:t>and operational activities. The Framework includes the Risk Management Policy, Guide and Risk Appetite Statement to ensure the Commission is consistent with the Commonwealth Risk Management Policy and satisfies its obligations under section 16 of the PGPA Act, while also supporting</w:t>
      </w:r>
      <w:r w:rsidR="00DA003A" w:rsidRPr="006E62D9">
        <w:t xml:space="preserve"> </w:t>
      </w:r>
      <w:r w:rsidRPr="006E62D9">
        <w:t>appropriate systems</w:t>
      </w:r>
      <w:r w:rsidR="00DA003A" w:rsidRPr="006E62D9">
        <w:t xml:space="preserve"> </w:t>
      </w:r>
      <w:r w:rsidRPr="006E62D9">
        <w:t>of governance.</w:t>
      </w:r>
    </w:p>
    <w:p w14:paraId="6F7A2AB1" w14:textId="77777777" w:rsidR="00F575CC" w:rsidRDefault="0081268C" w:rsidP="0026417C">
      <w:r w:rsidRPr="006E62D9">
        <w:t>The</w:t>
      </w:r>
      <w:r w:rsidR="00DA003A" w:rsidRPr="006E62D9">
        <w:t xml:space="preserve"> </w:t>
      </w:r>
      <w:r w:rsidRPr="006E62D9">
        <w:t>internal audit</w:t>
      </w:r>
      <w:r w:rsidR="00DA003A" w:rsidRPr="006E62D9">
        <w:t xml:space="preserve"> </w:t>
      </w:r>
      <w:r w:rsidRPr="006E62D9">
        <w:t>function</w:t>
      </w:r>
      <w:r w:rsidR="00DA003A" w:rsidRPr="006E62D9">
        <w:t xml:space="preserve"> </w:t>
      </w:r>
      <w:r w:rsidRPr="006E62D9">
        <w:t>provides</w:t>
      </w:r>
      <w:r w:rsidR="00DA003A" w:rsidRPr="006E62D9">
        <w:t xml:space="preserve"> </w:t>
      </w:r>
      <w:r w:rsidRPr="006E62D9">
        <w:t>independent assurance on risk, controls,</w:t>
      </w:r>
      <w:r w:rsidR="00DA003A" w:rsidRPr="006E62D9">
        <w:t xml:space="preserve"> </w:t>
      </w:r>
      <w:r w:rsidRPr="006E62D9">
        <w:t>compliance</w:t>
      </w:r>
      <w:r w:rsidR="00DA003A" w:rsidRPr="006E62D9">
        <w:t xml:space="preserve"> </w:t>
      </w:r>
      <w:r w:rsidRPr="006E62D9">
        <w:t>and external accountability, and</w:t>
      </w:r>
      <w:r w:rsidR="00DA003A" w:rsidRPr="006E62D9">
        <w:t xml:space="preserve"> </w:t>
      </w:r>
      <w:r w:rsidRPr="006E62D9">
        <w:t>identifies</w:t>
      </w:r>
      <w:r w:rsidR="00DA003A" w:rsidRPr="006E62D9">
        <w:t xml:space="preserve"> </w:t>
      </w:r>
      <w:r w:rsidRPr="006E62D9">
        <w:t>opportunities for continuous improvement.</w:t>
      </w:r>
      <w:r w:rsidR="00DA003A" w:rsidRPr="006E62D9">
        <w:t xml:space="preserve"> </w:t>
      </w:r>
      <w:r w:rsidRPr="006E62D9">
        <w:t>This is overseen by the</w:t>
      </w:r>
      <w:r w:rsidR="00DA003A" w:rsidRPr="006E62D9">
        <w:t xml:space="preserve"> </w:t>
      </w:r>
      <w:r w:rsidRPr="006E62D9">
        <w:t>Commission’s Audit and Risk Committee (ARC)</w:t>
      </w:r>
      <w:r w:rsidR="00961EED">
        <w:t>,</w:t>
      </w:r>
      <w:r w:rsidR="00DA003A" w:rsidRPr="006E62D9">
        <w:t xml:space="preserve"> </w:t>
      </w:r>
      <w:r w:rsidR="00E95735">
        <w:t>which</w:t>
      </w:r>
      <w:r w:rsidR="00E95735" w:rsidRPr="006E62D9">
        <w:t xml:space="preserve"> </w:t>
      </w:r>
      <w:r w:rsidRPr="006E62D9">
        <w:t>provide</w:t>
      </w:r>
      <w:r w:rsidR="00E95735">
        <w:t>s</w:t>
      </w:r>
      <w:r w:rsidRPr="006E62D9">
        <w:t xml:space="preserve"> assurance that the Commission is</w:t>
      </w:r>
      <w:r w:rsidR="00DA003A" w:rsidRPr="006E62D9">
        <w:t xml:space="preserve"> </w:t>
      </w:r>
      <w:r w:rsidRPr="006E62D9">
        <w:t>operating</w:t>
      </w:r>
      <w:r w:rsidR="00DA003A" w:rsidRPr="006E62D9">
        <w:t xml:space="preserve"> </w:t>
      </w:r>
      <w:r w:rsidRPr="006E62D9">
        <w:t>with effective risk management and has sufficient systems of internal control.</w:t>
      </w:r>
      <w:r w:rsidR="00DA003A" w:rsidRPr="006E62D9">
        <w:t xml:space="preserve"> </w:t>
      </w:r>
    </w:p>
    <w:p w14:paraId="1C51F1EE" w14:textId="77777777" w:rsidR="00F575CC" w:rsidRDefault="0081268C" w:rsidP="0026417C">
      <w:r w:rsidRPr="006E62D9">
        <w:t>The Commission’s</w:t>
      </w:r>
      <w:r w:rsidR="00DA003A" w:rsidRPr="006E62D9">
        <w:t xml:space="preserve"> </w:t>
      </w:r>
      <w:r w:rsidRPr="006E62D9">
        <w:t>enterprise</w:t>
      </w:r>
      <w:r w:rsidR="00DA003A" w:rsidRPr="006E62D9">
        <w:t xml:space="preserve"> </w:t>
      </w:r>
      <w:r w:rsidRPr="006E62D9">
        <w:t>risks are principally addressed under 10 specific areas,</w:t>
      </w:r>
      <w:r w:rsidR="00DA003A" w:rsidRPr="006E62D9">
        <w:t xml:space="preserve"> </w:t>
      </w:r>
      <w:r w:rsidRPr="006E62D9">
        <w:t>as</w:t>
      </w:r>
      <w:r w:rsidR="00DA003A" w:rsidRPr="006E62D9">
        <w:t xml:space="preserve"> </w:t>
      </w:r>
      <w:r w:rsidRPr="006E62D9">
        <w:t>outlined</w:t>
      </w:r>
      <w:r w:rsidR="00DA003A" w:rsidRPr="006E62D9">
        <w:t xml:space="preserve"> </w:t>
      </w:r>
      <w:r w:rsidRPr="006E62D9">
        <w:t>in Table 1.</w:t>
      </w:r>
    </w:p>
    <w:p w14:paraId="323EEEBF" w14:textId="055EAE50" w:rsidR="00CF425A" w:rsidRPr="006E62D9" w:rsidRDefault="00CF425A" w:rsidP="00E90EA6">
      <w:pPr>
        <w:pStyle w:val="Heading4"/>
        <w:rPr>
          <w:b w:val="0"/>
          <w:bCs/>
        </w:rPr>
      </w:pPr>
      <w:r w:rsidRPr="006E62D9">
        <w:rPr>
          <w:color w:val="1B598C" w:themeColor="text1"/>
        </w:rPr>
        <w:lastRenderedPageBreak/>
        <w:t xml:space="preserve">Table 1: </w:t>
      </w:r>
      <w:r w:rsidRPr="006E62D9">
        <w:rPr>
          <w:b w:val="0"/>
          <w:bCs/>
        </w:rPr>
        <w:t>Enterprise risks</w:t>
      </w:r>
    </w:p>
    <w:tbl>
      <w:tblPr>
        <w:tblStyle w:val="CorporatePlan"/>
        <w:tblW w:w="9898" w:type="dxa"/>
        <w:jc w:val="center"/>
        <w:tblLook w:val="0420" w:firstRow="1" w:lastRow="0" w:firstColumn="0" w:lastColumn="0" w:noHBand="0" w:noVBand="1"/>
      </w:tblPr>
      <w:tblGrid>
        <w:gridCol w:w="2835"/>
        <w:gridCol w:w="2127"/>
        <w:gridCol w:w="4936"/>
      </w:tblGrid>
      <w:tr w:rsidR="0081268C" w:rsidRPr="003E22F6" w14:paraId="7307D810" w14:textId="77777777" w:rsidTr="00C6328A">
        <w:trPr>
          <w:cnfStyle w:val="100000000000" w:firstRow="1" w:lastRow="0" w:firstColumn="0" w:lastColumn="0" w:oddVBand="0" w:evenVBand="0" w:oddHBand="0" w:evenHBand="0" w:firstRowFirstColumn="0" w:firstRowLastColumn="0" w:lastRowFirstColumn="0" w:lastRowLastColumn="0"/>
          <w:trHeight w:val="663"/>
          <w:tblHeader/>
          <w:jc w:val="center"/>
        </w:trPr>
        <w:tc>
          <w:tcPr>
            <w:tcW w:w="2835" w:type="dxa"/>
          </w:tcPr>
          <w:p w14:paraId="18B4BE5A" w14:textId="31F2A4DD" w:rsidR="0081268C" w:rsidRPr="0026417C" w:rsidRDefault="0081268C">
            <w:pPr>
              <w:spacing w:before="120" w:after="120"/>
              <w:rPr>
                <w:rFonts w:ascii="Work Sans SemiBold" w:hAnsi="Work Sans SemiBold"/>
                <w:b w:val="0"/>
              </w:rPr>
            </w:pPr>
            <w:bookmarkStart w:id="67" w:name="ColumnTitle_01"/>
            <w:bookmarkEnd w:id="67"/>
            <w:r w:rsidRPr="0026417C">
              <w:rPr>
                <w:rFonts w:ascii="Work Sans SemiBold" w:hAnsi="Work Sans SemiBold"/>
                <w:b w:val="0"/>
              </w:rPr>
              <w:t>Enterprise risk</w:t>
            </w:r>
          </w:p>
        </w:tc>
        <w:tc>
          <w:tcPr>
            <w:tcW w:w="2127" w:type="dxa"/>
          </w:tcPr>
          <w:p w14:paraId="18D49F98" w14:textId="14B57408" w:rsidR="0081268C" w:rsidRPr="0026417C" w:rsidRDefault="0081268C">
            <w:pPr>
              <w:spacing w:before="120" w:after="120"/>
              <w:rPr>
                <w:rFonts w:ascii="Work Sans SemiBold" w:hAnsi="Work Sans SemiBold"/>
                <w:b w:val="0"/>
              </w:rPr>
            </w:pPr>
            <w:r w:rsidRPr="0026417C">
              <w:rPr>
                <w:rFonts w:ascii="Work Sans SemiBold" w:hAnsi="Work Sans SemiBold"/>
                <w:b w:val="0"/>
              </w:rPr>
              <w:t xml:space="preserve">Risk </w:t>
            </w:r>
            <w:r w:rsidR="00C43797" w:rsidRPr="0026417C">
              <w:rPr>
                <w:rFonts w:ascii="Work Sans SemiBold" w:hAnsi="Work Sans SemiBold"/>
                <w:b w:val="0"/>
              </w:rPr>
              <w:t>t</w:t>
            </w:r>
            <w:r w:rsidRPr="0026417C">
              <w:rPr>
                <w:rFonts w:ascii="Work Sans SemiBold" w:hAnsi="Work Sans SemiBold"/>
                <w:b w:val="0"/>
              </w:rPr>
              <w:t>heme</w:t>
            </w:r>
          </w:p>
        </w:tc>
        <w:tc>
          <w:tcPr>
            <w:tcW w:w="4936" w:type="dxa"/>
          </w:tcPr>
          <w:p w14:paraId="68F751BE" w14:textId="4C3EC1AB" w:rsidR="0081268C" w:rsidRPr="0026417C" w:rsidRDefault="00773E6F">
            <w:pPr>
              <w:spacing w:before="120" w:after="120"/>
              <w:rPr>
                <w:rFonts w:ascii="Work Sans SemiBold" w:hAnsi="Work Sans SemiBold"/>
                <w:b w:val="0"/>
              </w:rPr>
            </w:pPr>
            <w:r w:rsidRPr="0026417C">
              <w:rPr>
                <w:rFonts w:ascii="Work Sans SemiBold" w:hAnsi="Work Sans SemiBold"/>
                <w:b w:val="0"/>
              </w:rPr>
              <w:t>R</w:t>
            </w:r>
            <w:r w:rsidR="0081268C" w:rsidRPr="0026417C">
              <w:rPr>
                <w:rFonts w:ascii="Work Sans SemiBold" w:hAnsi="Work Sans SemiBold"/>
                <w:b w:val="0"/>
              </w:rPr>
              <w:t>isk</w:t>
            </w:r>
            <w:r w:rsidRPr="0026417C">
              <w:rPr>
                <w:rFonts w:ascii="Work Sans SemiBold" w:hAnsi="Work Sans SemiBold"/>
                <w:b w:val="0"/>
              </w:rPr>
              <w:t xml:space="preserve"> management</w:t>
            </w:r>
          </w:p>
        </w:tc>
      </w:tr>
      <w:tr w:rsidR="0081268C" w:rsidRPr="003E22F6" w14:paraId="6DF79B95" w14:textId="77777777" w:rsidTr="00C6328A">
        <w:trPr>
          <w:cnfStyle w:val="000000100000" w:firstRow="0" w:lastRow="0" w:firstColumn="0" w:lastColumn="0" w:oddVBand="0" w:evenVBand="0" w:oddHBand="1" w:evenHBand="0" w:firstRowFirstColumn="0" w:firstRowLastColumn="0" w:lastRowFirstColumn="0" w:lastRowLastColumn="0"/>
          <w:trHeight w:val="3209"/>
          <w:jc w:val="center"/>
        </w:trPr>
        <w:tc>
          <w:tcPr>
            <w:tcW w:w="2835" w:type="dxa"/>
          </w:tcPr>
          <w:p w14:paraId="794AF526" w14:textId="04A6007A" w:rsidR="0081268C" w:rsidRPr="002679AD" w:rsidRDefault="0081268C" w:rsidP="00215336">
            <w:r w:rsidRPr="002679AD">
              <w:t>The Commission fails to establish and implement legislatively compliant processes and activities.</w:t>
            </w:r>
          </w:p>
        </w:tc>
        <w:tc>
          <w:tcPr>
            <w:tcW w:w="2127" w:type="dxa"/>
          </w:tcPr>
          <w:p w14:paraId="2D750EAD" w14:textId="0B2866A8" w:rsidR="0081268C" w:rsidRPr="002679AD" w:rsidRDefault="0081268C" w:rsidP="00215336">
            <w:r w:rsidRPr="002679AD">
              <w:t>Legislation and compliance</w:t>
            </w:r>
          </w:p>
        </w:tc>
        <w:tc>
          <w:tcPr>
            <w:tcW w:w="4936" w:type="dxa"/>
          </w:tcPr>
          <w:p w14:paraId="15300334" w14:textId="04402FC3" w:rsidR="0081268C" w:rsidRPr="002679AD" w:rsidRDefault="0081268C" w:rsidP="00215336">
            <w:r w:rsidRPr="002679AD">
              <w:t>The Commission's Governance Framework ensures that the Accountable Authority and Commissioner are supported to discharge their duties in compliance with relevant legislative requirements. The activities of the Commission are overseen by the Inspector and the PJC‑NACC.</w:t>
            </w:r>
          </w:p>
        </w:tc>
      </w:tr>
      <w:tr w:rsidR="0081268C" w:rsidRPr="003E22F6" w14:paraId="5D9A468A" w14:textId="77777777" w:rsidTr="00C6328A">
        <w:trPr>
          <w:trHeight w:val="2787"/>
          <w:jc w:val="center"/>
        </w:trPr>
        <w:tc>
          <w:tcPr>
            <w:tcW w:w="2835" w:type="dxa"/>
          </w:tcPr>
          <w:p w14:paraId="7E758EAD" w14:textId="3DC1D0B0" w:rsidR="0081268C" w:rsidRPr="002679AD" w:rsidRDefault="0081268C" w:rsidP="00215336">
            <w:r w:rsidRPr="006E62D9">
              <w:t>The Commission fails to establish and grow operational and organisational cadence and achieve Commission outcomes.</w:t>
            </w:r>
          </w:p>
        </w:tc>
        <w:tc>
          <w:tcPr>
            <w:tcW w:w="2127" w:type="dxa"/>
          </w:tcPr>
          <w:p w14:paraId="49048D36" w14:textId="18DDEF83" w:rsidR="0081268C" w:rsidRPr="006E62D9" w:rsidRDefault="0081268C" w:rsidP="00215336">
            <w:r w:rsidRPr="006E62D9">
              <w:t>Efficient and effective</w:t>
            </w:r>
          </w:p>
        </w:tc>
        <w:tc>
          <w:tcPr>
            <w:tcW w:w="4936" w:type="dxa"/>
          </w:tcPr>
          <w:p w14:paraId="43BA4FF5" w14:textId="00CCB9E7" w:rsidR="0081268C" w:rsidRPr="002679AD" w:rsidRDefault="0081268C" w:rsidP="00215336">
            <w:r w:rsidRPr="006E62D9">
              <w:t>Key activities in relation to organisational and operational performance are outlined in this Corporate Plan. This is supported by internal and external performance reporting and assurance activities such as business planning and internal audit activities.</w:t>
            </w:r>
          </w:p>
        </w:tc>
      </w:tr>
      <w:tr w:rsidR="0081268C" w:rsidRPr="003E22F6" w14:paraId="05622332" w14:textId="77777777" w:rsidTr="00C6328A">
        <w:trPr>
          <w:cnfStyle w:val="000000100000" w:firstRow="0" w:lastRow="0" w:firstColumn="0" w:lastColumn="0" w:oddVBand="0" w:evenVBand="0" w:oddHBand="1" w:evenHBand="0" w:firstRowFirstColumn="0" w:firstRowLastColumn="0" w:lastRowFirstColumn="0" w:lastRowLastColumn="0"/>
          <w:trHeight w:val="2787"/>
          <w:jc w:val="center"/>
        </w:trPr>
        <w:tc>
          <w:tcPr>
            <w:tcW w:w="2835" w:type="dxa"/>
          </w:tcPr>
          <w:p w14:paraId="0A71CD44" w14:textId="616108AA" w:rsidR="0081268C" w:rsidRPr="002679AD" w:rsidRDefault="0081268C" w:rsidP="00215336">
            <w:r w:rsidRPr="006E62D9">
              <w:t>The Commission fails to establish and build effective relationships.</w:t>
            </w:r>
          </w:p>
        </w:tc>
        <w:tc>
          <w:tcPr>
            <w:tcW w:w="2127" w:type="dxa"/>
          </w:tcPr>
          <w:p w14:paraId="497A8201" w14:textId="57DAE43D" w:rsidR="0081268C" w:rsidRPr="006E62D9" w:rsidRDefault="0081268C" w:rsidP="00215336">
            <w:r w:rsidRPr="006E62D9">
              <w:t>Engagement</w:t>
            </w:r>
          </w:p>
        </w:tc>
        <w:tc>
          <w:tcPr>
            <w:tcW w:w="4936" w:type="dxa"/>
          </w:tcPr>
          <w:p w14:paraId="4ADC6D83" w14:textId="7B5A123C" w:rsidR="0081268C" w:rsidRPr="002679AD" w:rsidRDefault="0081268C" w:rsidP="00215336">
            <w:r w:rsidRPr="006E62D9">
              <w:t>A National Engagement Strategy has been established to ensure that each function commits to building connections with key stakeholders to ensure objectives are met and that the Commission meets its obligations as an Integrity agency.</w:t>
            </w:r>
          </w:p>
        </w:tc>
      </w:tr>
      <w:tr w:rsidR="0081268C" w:rsidRPr="003E22F6" w14:paraId="679F2368" w14:textId="77777777" w:rsidTr="00C6328A">
        <w:trPr>
          <w:trHeight w:val="2364"/>
          <w:jc w:val="center"/>
        </w:trPr>
        <w:tc>
          <w:tcPr>
            <w:tcW w:w="2835" w:type="dxa"/>
          </w:tcPr>
          <w:p w14:paraId="197149B2" w14:textId="553BEBD5" w:rsidR="0081268C" w:rsidRPr="002679AD" w:rsidRDefault="0081268C" w:rsidP="00474885">
            <w:r w:rsidRPr="006E62D9">
              <w:lastRenderedPageBreak/>
              <w:t>The Commission fails to maintain control or security of its cyber, physical and information assets.</w:t>
            </w:r>
          </w:p>
        </w:tc>
        <w:tc>
          <w:tcPr>
            <w:tcW w:w="2127" w:type="dxa"/>
          </w:tcPr>
          <w:p w14:paraId="5B241932" w14:textId="516420A0" w:rsidR="0081268C" w:rsidRPr="006E62D9" w:rsidRDefault="0081268C" w:rsidP="00474885">
            <w:r w:rsidRPr="006E62D9">
              <w:t>Security</w:t>
            </w:r>
          </w:p>
        </w:tc>
        <w:tc>
          <w:tcPr>
            <w:tcW w:w="4936" w:type="dxa"/>
          </w:tcPr>
          <w:p w14:paraId="2A24FA32" w14:textId="7E3F3D6A" w:rsidR="0081268C" w:rsidRPr="002679AD" w:rsidRDefault="0081268C" w:rsidP="00474885">
            <w:r w:rsidRPr="006E62D9">
              <w:t>The Commission has frameworks in place that ensures adequate and effective controls are in place to manage the risks and mitigate the impacts of any threats relating to physical and information assets.</w:t>
            </w:r>
          </w:p>
        </w:tc>
      </w:tr>
      <w:tr w:rsidR="0081268C" w:rsidRPr="003E22F6" w14:paraId="1915942B" w14:textId="77777777" w:rsidTr="00C6328A">
        <w:trPr>
          <w:cnfStyle w:val="000000100000" w:firstRow="0" w:lastRow="0" w:firstColumn="0" w:lastColumn="0" w:oddVBand="0" w:evenVBand="0" w:oddHBand="1" w:evenHBand="0" w:firstRowFirstColumn="0" w:firstRowLastColumn="0" w:lastRowFirstColumn="0" w:lastRowLastColumn="0"/>
          <w:trHeight w:val="2787"/>
          <w:jc w:val="center"/>
        </w:trPr>
        <w:tc>
          <w:tcPr>
            <w:tcW w:w="2835" w:type="dxa"/>
          </w:tcPr>
          <w:p w14:paraId="3DB143C7" w14:textId="172CB26C" w:rsidR="0081268C" w:rsidRPr="002679AD" w:rsidRDefault="0081268C" w:rsidP="00474885">
            <w:r w:rsidRPr="006E62D9">
              <w:t>The Commission fails to attract, retain or maintain sufficient workforce capability.</w:t>
            </w:r>
          </w:p>
        </w:tc>
        <w:tc>
          <w:tcPr>
            <w:tcW w:w="2127" w:type="dxa"/>
          </w:tcPr>
          <w:p w14:paraId="179BD6E9" w14:textId="23A1C554" w:rsidR="0081268C" w:rsidRPr="006E62D9" w:rsidRDefault="0081268C" w:rsidP="00474885">
            <w:r w:rsidRPr="006E62D9">
              <w:t>Workforce capability</w:t>
            </w:r>
          </w:p>
        </w:tc>
        <w:tc>
          <w:tcPr>
            <w:tcW w:w="4936" w:type="dxa"/>
          </w:tcPr>
          <w:p w14:paraId="5481F80B" w14:textId="35F8748B" w:rsidR="0081268C" w:rsidRPr="002679AD" w:rsidRDefault="0081268C" w:rsidP="00474885">
            <w:r w:rsidRPr="006E62D9">
              <w:t>The Commission regularly assesses and reviews its capability needs based on its operational requirements, risks and opportunities, and the skills required to ensure that objectives and obligations are met.</w:t>
            </w:r>
          </w:p>
        </w:tc>
      </w:tr>
      <w:tr w:rsidR="0081268C" w:rsidRPr="003E22F6" w14:paraId="1FBBDFB5" w14:textId="77777777" w:rsidTr="00C6328A">
        <w:trPr>
          <w:trHeight w:val="4066"/>
          <w:jc w:val="center"/>
        </w:trPr>
        <w:tc>
          <w:tcPr>
            <w:tcW w:w="2835" w:type="dxa"/>
          </w:tcPr>
          <w:p w14:paraId="3DFF08D8" w14:textId="2250BF53" w:rsidR="0081268C" w:rsidRPr="002679AD" w:rsidRDefault="0081268C" w:rsidP="00474885">
            <w:r w:rsidRPr="006E62D9">
              <w:t>The Commission fails to establish organisational systems of control.</w:t>
            </w:r>
          </w:p>
        </w:tc>
        <w:tc>
          <w:tcPr>
            <w:tcW w:w="2127" w:type="dxa"/>
          </w:tcPr>
          <w:p w14:paraId="323EF26B" w14:textId="2A644E5E" w:rsidR="0081268C" w:rsidRPr="006E62D9" w:rsidRDefault="0081268C" w:rsidP="00474885">
            <w:r w:rsidRPr="006E62D9">
              <w:t>Organisational capability</w:t>
            </w:r>
          </w:p>
        </w:tc>
        <w:tc>
          <w:tcPr>
            <w:tcW w:w="4936" w:type="dxa"/>
          </w:tcPr>
          <w:p w14:paraId="7C032553" w14:textId="369CA3A6" w:rsidR="0081268C" w:rsidRPr="002679AD" w:rsidRDefault="0081268C" w:rsidP="00474885">
            <w:r w:rsidRPr="006E62D9">
              <w:t>The Commission's overall control environment ensures that it meets its objectives and functions as well as promoting ongoing improvement to processes and outcomes. This includes a robust governance structure with additional oversight from the Audit and Risk Committee, internal audit activities, and external oversight by the Inspector and PJC</w:t>
            </w:r>
            <w:r w:rsidRPr="006E62D9">
              <w:rPr>
                <w:rFonts w:ascii="Cambria Math" w:hAnsi="Cambria Math" w:cs="Cambria Math"/>
              </w:rPr>
              <w:t>‑</w:t>
            </w:r>
            <w:r w:rsidRPr="006E62D9">
              <w:t>NACC.</w:t>
            </w:r>
          </w:p>
        </w:tc>
      </w:tr>
      <w:tr w:rsidR="0081268C" w:rsidRPr="003E22F6" w14:paraId="4C7B81AD" w14:textId="77777777" w:rsidTr="00C6328A">
        <w:trPr>
          <w:cnfStyle w:val="000000100000" w:firstRow="0" w:lastRow="0" w:firstColumn="0" w:lastColumn="0" w:oddVBand="0" w:evenVBand="0" w:oddHBand="1" w:evenHBand="0" w:firstRowFirstColumn="0" w:firstRowLastColumn="0" w:lastRowFirstColumn="0" w:lastRowLastColumn="0"/>
          <w:trHeight w:val="4910"/>
          <w:jc w:val="center"/>
        </w:trPr>
        <w:tc>
          <w:tcPr>
            <w:tcW w:w="2835" w:type="dxa"/>
          </w:tcPr>
          <w:p w14:paraId="64A03FCE" w14:textId="1AAA0EAA" w:rsidR="0081268C" w:rsidRPr="002679AD" w:rsidRDefault="0081268C" w:rsidP="00474885">
            <w:r w:rsidRPr="006E62D9">
              <w:lastRenderedPageBreak/>
              <w:t>Excessive or serious instances of preventable physical or wellbeing injuries to our people or those who interact with the Commission.</w:t>
            </w:r>
          </w:p>
        </w:tc>
        <w:tc>
          <w:tcPr>
            <w:tcW w:w="2127" w:type="dxa"/>
          </w:tcPr>
          <w:p w14:paraId="188B5E2E" w14:textId="387B7F42" w:rsidR="0081268C" w:rsidRPr="006E62D9" w:rsidRDefault="0081268C" w:rsidP="00474885">
            <w:r w:rsidRPr="006E62D9">
              <w:t>Wellbeing and safety</w:t>
            </w:r>
          </w:p>
        </w:tc>
        <w:tc>
          <w:tcPr>
            <w:tcW w:w="4936" w:type="dxa"/>
          </w:tcPr>
          <w:p w14:paraId="72BCB513" w14:textId="20749B2E" w:rsidR="0081268C" w:rsidRPr="002679AD" w:rsidRDefault="0081268C" w:rsidP="00474885">
            <w:r w:rsidRPr="006E62D9">
              <w:t>The Commission takes a zero-tolerance approach to risks associated with the health, safety and wellbeing of staff and parties who interact with it. As well as frameworks ensuring compliance with work health safety requirements, the Commission focu</w:t>
            </w:r>
            <w:r w:rsidRPr="006E62D9" w:rsidDel="004D77A5">
              <w:t>s</w:t>
            </w:r>
            <w:r w:rsidRPr="006E62D9">
              <w:t>ses on consultation and collaboration with staff and stakeholders to ensure the maintenance of a safe and healthy workplace. Witness Liaison Officers provide further support to those who interact with the Commission.</w:t>
            </w:r>
          </w:p>
        </w:tc>
      </w:tr>
      <w:tr w:rsidR="0081268C" w:rsidRPr="003E22F6" w14:paraId="5EB717DE" w14:textId="77777777" w:rsidTr="00C6328A">
        <w:trPr>
          <w:trHeight w:val="4078"/>
          <w:jc w:val="center"/>
        </w:trPr>
        <w:tc>
          <w:tcPr>
            <w:tcW w:w="2835" w:type="dxa"/>
          </w:tcPr>
          <w:p w14:paraId="68559DEA" w14:textId="7C4B72A8" w:rsidR="0081268C" w:rsidRPr="002679AD" w:rsidRDefault="0081268C" w:rsidP="00474885">
            <w:r w:rsidRPr="006E62D9">
              <w:t>The Commission does not have an ongoing sustainable funding and resource model to meet its statutory requirements in the medium and long term.</w:t>
            </w:r>
          </w:p>
        </w:tc>
        <w:tc>
          <w:tcPr>
            <w:tcW w:w="2127" w:type="dxa"/>
          </w:tcPr>
          <w:p w14:paraId="121FE743" w14:textId="7D219740" w:rsidR="0081268C" w:rsidRPr="006E62D9" w:rsidRDefault="0081268C" w:rsidP="00474885">
            <w:r w:rsidRPr="006E62D9">
              <w:t xml:space="preserve">Financial </w:t>
            </w:r>
            <w:r w:rsidR="007F0C1C" w:rsidRPr="006E62D9">
              <w:t>sustainability</w:t>
            </w:r>
          </w:p>
        </w:tc>
        <w:tc>
          <w:tcPr>
            <w:tcW w:w="4936" w:type="dxa"/>
          </w:tcPr>
          <w:p w14:paraId="379809A7" w14:textId="610EDC22" w:rsidR="0081268C" w:rsidRPr="002679AD" w:rsidRDefault="0081268C" w:rsidP="00474885">
            <w:r w:rsidRPr="006E62D9">
              <w:t>The Commission embeds continual review and monitoring of expenditure into the internal budget process. In addition, effective financial management and resource utilisation are key oversight components of the Corporate Governance and Audit and Risk Committees. The functions of the PJC</w:t>
            </w:r>
            <w:r w:rsidRPr="006E62D9">
              <w:rPr>
                <w:rFonts w:ascii="Cambria Math" w:hAnsi="Cambria Math" w:cs="Cambria Math"/>
              </w:rPr>
              <w:t>‑</w:t>
            </w:r>
            <w:r w:rsidRPr="006E62D9">
              <w:t>NACC include reviewing the sufficiency of the Commission</w:t>
            </w:r>
            <w:r w:rsidRPr="006E62D9">
              <w:rPr>
                <w:rFonts w:ascii="Aptos" w:hAnsi="Aptos" w:cs="Aptos"/>
              </w:rPr>
              <w:t>’</w:t>
            </w:r>
            <w:r w:rsidRPr="006E62D9">
              <w:t>s budget and finances.</w:t>
            </w:r>
          </w:p>
        </w:tc>
      </w:tr>
      <w:tr w:rsidR="0081268C" w:rsidRPr="003E22F6" w14:paraId="141D9576" w14:textId="77777777" w:rsidTr="00C6328A">
        <w:trPr>
          <w:cnfStyle w:val="000000100000" w:firstRow="0" w:lastRow="0" w:firstColumn="0" w:lastColumn="0" w:oddVBand="0" w:evenVBand="0" w:oddHBand="1" w:evenHBand="0" w:firstRowFirstColumn="0" w:firstRowLastColumn="0" w:lastRowFirstColumn="0" w:lastRowLastColumn="0"/>
          <w:trHeight w:val="4488"/>
          <w:jc w:val="center"/>
        </w:trPr>
        <w:tc>
          <w:tcPr>
            <w:tcW w:w="2835" w:type="dxa"/>
          </w:tcPr>
          <w:p w14:paraId="6EF3823C" w14:textId="77DCEF8D" w:rsidR="0081268C" w:rsidRPr="002679AD" w:rsidRDefault="0081268C" w:rsidP="00474885">
            <w:r w:rsidRPr="006E62D9">
              <w:lastRenderedPageBreak/>
              <w:t>The Commission fails to provide independent assurance to the Australian community that corrupt conduct involving Commonwealth public officials is prevented, detected, investigated and responded to appropriately.</w:t>
            </w:r>
          </w:p>
        </w:tc>
        <w:tc>
          <w:tcPr>
            <w:tcW w:w="2127" w:type="dxa"/>
          </w:tcPr>
          <w:p w14:paraId="5769F72A" w14:textId="1C440980" w:rsidR="0081268C" w:rsidRPr="006E62D9" w:rsidRDefault="007F0C1C" w:rsidP="00474885">
            <w:r w:rsidRPr="006E62D9">
              <w:t>Community trust</w:t>
            </w:r>
          </w:p>
        </w:tc>
        <w:tc>
          <w:tcPr>
            <w:tcW w:w="4936" w:type="dxa"/>
          </w:tcPr>
          <w:p w14:paraId="0ED81EAD" w14:textId="13D7C33F" w:rsidR="0081268C" w:rsidRPr="002679AD" w:rsidRDefault="0081268C" w:rsidP="00474885">
            <w:r w:rsidRPr="006E62D9">
              <w:t>The Commission provides assurance to the public through regular media communications, stakeholder engagement and educational resources. The Inspector of the NACC and PJC</w:t>
            </w:r>
            <w:r w:rsidRPr="006E62D9">
              <w:rPr>
                <w:rFonts w:ascii="Cambria Math" w:hAnsi="Cambria Math" w:cs="Cambria Math"/>
              </w:rPr>
              <w:t>‑</w:t>
            </w:r>
            <w:r w:rsidRPr="006E62D9">
              <w:t>NACC have oversight powers to examine and report on the effectiveness of the Commission</w:t>
            </w:r>
            <w:r w:rsidRPr="006E62D9">
              <w:rPr>
                <w:rFonts w:ascii="Aptos" w:hAnsi="Aptos" w:cs="Aptos"/>
              </w:rPr>
              <w:t>’</w:t>
            </w:r>
            <w:r w:rsidRPr="006E62D9">
              <w:t>s approach and activities.</w:t>
            </w:r>
          </w:p>
        </w:tc>
      </w:tr>
      <w:tr w:rsidR="0081268C" w:rsidRPr="003E22F6" w14:paraId="2B710EF3" w14:textId="77777777" w:rsidTr="00C6328A">
        <w:trPr>
          <w:trHeight w:val="4476"/>
          <w:jc w:val="center"/>
        </w:trPr>
        <w:tc>
          <w:tcPr>
            <w:tcW w:w="2835" w:type="dxa"/>
          </w:tcPr>
          <w:p w14:paraId="0051FC2F" w14:textId="337AC22E" w:rsidR="0081268C" w:rsidRPr="002679AD" w:rsidRDefault="0081268C" w:rsidP="00474885">
            <w:r w:rsidRPr="006E62D9">
              <w:t>The Commission fails to maintain awareness of, and seek solutions to, technological changes which impact its ability to collect evidence and intelligence as part of its investigations.</w:t>
            </w:r>
          </w:p>
        </w:tc>
        <w:tc>
          <w:tcPr>
            <w:tcW w:w="2127" w:type="dxa"/>
          </w:tcPr>
          <w:p w14:paraId="00EDD3F7" w14:textId="54CD4A0E" w:rsidR="0081268C" w:rsidRPr="006E62D9" w:rsidRDefault="007F0C1C" w:rsidP="00474885">
            <w:r w:rsidRPr="006E62D9">
              <w:t>Technologies</w:t>
            </w:r>
          </w:p>
        </w:tc>
        <w:tc>
          <w:tcPr>
            <w:tcW w:w="4936" w:type="dxa"/>
          </w:tcPr>
          <w:p w14:paraId="64444DFF" w14:textId="11969BC1" w:rsidR="00474885" w:rsidRPr="00474885" w:rsidRDefault="0081268C" w:rsidP="00474885">
            <w:r w:rsidRPr="006E62D9">
              <w:t xml:space="preserve">The Commission works closely with partner agencies and other experts to ensure </w:t>
            </w:r>
            <w:r w:rsidRPr="006E62D9" w:rsidDel="00B54895">
              <w:t>that we are</w:t>
            </w:r>
            <w:r w:rsidRPr="006E62D9">
              <w:t xml:space="preserve"> aware of, and </w:t>
            </w:r>
            <w:proofErr w:type="gramStart"/>
            <w:r w:rsidRPr="006E62D9" w:rsidDel="008F31C2">
              <w:t>are able to</w:t>
            </w:r>
            <w:proofErr w:type="gramEnd"/>
            <w:r w:rsidRPr="006E62D9" w:rsidDel="008F31C2">
              <w:t xml:space="preserve"> </w:t>
            </w:r>
            <w:r w:rsidRPr="006E62D9">
              <w:t xml:space="preserve">use where appropriate, new technologies to ensure our collection activities are not eroded. This includes chairing a Community of Practice with </w:t>
            </w:r>
            <w:r w:rsidRPr="006E62D9" w:rsidDel="003734CB">
              <w:t xml:space="preserve">State </w:t>
            </w:r>
            <w:r w:rsidRPr="006E62D9">
              <w:t xml:space="preserve">and </w:t>
            </w:r>
            <w:r w:rsidRPr="006E62D9" w:rsidDel="003734CB">
              <w:t xml:space="preserve">Territory </w:t>
            </w:r>
            <w:r w:rsidRPr="006E62D9">
              <w:t>integrity agencies to share information on these challenges. Frequent, targeted training is also provided to our staff.</w:t>
            </w:r>
          </w:p>
        </w:tc>
      </w:tr>
    </w:tbl>
    <w:p w14:paraId="3105CFEA" w14:textId="77777777" w:rsidR="00181153" w:rsidRPr="002679AD" w:rsidRDefault="00181153" w:rsidP="00474885">
      <w:pPr>
        <w:pStyle w:val="Heading3"/>
        <w:spacing w:before="360" w:after="240"/>
      </w:pPr>
      <w:r w:rsidRPr="00474885">
        <w:lastRenderedPageBreak/>
        <w:t>Governance</w:t>
      </w:r>
    </w:p>
    <w:p w14:paraId="4706202B" w14:textId="77777777" w:rsidR="00181153" w:rsidRPr="002679AD" w:rsidRDefault="1512921C" w:rsidP="00474885">
      <w:r>
        <w:t>The Commission’s governance structure provides a framework to identify, prevent, mitigate and report on enterprise and operational risks and promotes active engagement in the risk management process. While it is not possible to have a completely risk-free operating environment, the Commission is focused on further embedding the framework and developing the Commission’s risk culture and maturity.</w:t>
      </w:r>
    </w:p>
    <w:p w14:paraId="510CFB7E" w14:textId="2523530D" w:rsidR="00181153" w:rsidRPr="002679AD" w:rsidRDefault="1512921C" w:rsidP="00474885">
      <w:r>
        <w:t>The Commission’s Governance Framework comprises 2 streams covering corporate and operational governance. The Executive Leadership Committee provides strategic oversight of the Commission’s corporate and operational governance frameworks. The Commissioner chairs the Executive Leadership Committee and the Operations Governance Committee. The CEO chairs the Corporate Governance Committee and has established the WHS Committee and Consultative Committee in line with his responsibilities as</w:t>
      </w:r>
      <w:r w:rsidR="4B614FEB">
        <w:t xml:space="preserve"> </w:t>
      </w:r>
      <w:r>
        <w:t>accountable authority.</w:t>
      </w:r>
    </w:p>
    <w:p w14:paraId="7A1903DC" w14:textId="7855541A" w:rsidR="00181153" w:rsidRPr="002679AD" w:rsidRDefault="00181153" w:rsidP="00474885">
      <w:r w:rsidRPr="002679AD">
        <w:t xml:space="preserve">The Audit and Risk Committee supports the </w:t>
      </w:r>
      <w:r w:rsidR="00C30060">
        <w:t>CEO as a</w:t>
      </w:r>
      <w:r w:rsidRPr="002679AD">
        <w:t xml:space="preserve">ccountable </w:t>
      </w:r>
      <w:r w:rsidR="00C30060">
        <w:t>a</w:t>
      </w:r>
      <w:r w:rsidRPr="002679AD">
        <w:t>uthority by providing independent assurance on the appropriateness of the Commission’s financial and performance reporting and systems of internal control, including risk management.</w:t>
      </w:r>
    </w:p>
    <w:p w14:paraId="09CA5219" w14:textId="60288892" w:rsidR="002209C8" w:rsidRPr="006E62D9" w:rsidRDefault="35D234C5" w:rsidP="5715D848">
      <w:pPr>
        <w:pStyle w:val="Heading4"/>
        <w:rPr>
          <w:b w:val="0"/>
        </w:rPr>
      </w:pPr>
      <w:r w:rsidRPr="5715D848">
        <w:rPr>
          <w:color w:val="1B598C" w:themeColor="text1"/>
        </w:rPr>
        <w:lastRenderedPageBreak/>
        <w:t xml:space="preserve">Figure 3: </w:t>
      </w:r>
      <w:r>
        <w:rPr>
          <w:b w:val="0"/>
        </w:rPr>
        <w:t xml:space="preserve">Governance </w:t>
      </w:r>
      <w:r w:rsidR="00326781">
        <w:rPr>
          <w:b w:val="0"/>
        </w:rPr>
        <w:t>framework</w:t>
      </w:r>
    </w:p>
    <w:p w14:paraId="12544395" w14:textId="12034E77" w:rsidR="00E90EA6" w:rsidRPr="006E62D9" w:rsidRDefault="00A9041D" w:rsidP="00474885">
      <w:bookmarkStart w:id="68" w:name="_Toc221793674"/>
      <w:bookmarkStart w:id="69" w:name="_Toc221793694"/>
      <w:r w:rsidRPr="006E62D9">
        <w:rPr>
          <w:noProof/>
        </w:rPr>
        <w:drawing>
          <wp:inline distT="0" distB="0" distL="0" distR="0" wp14:anchorId="4949528B" wp14:editId="2E985750">
            <wp:extent cx="5731510" cy="3042917"/>
            <wp:effectExtent l="0" t="0" r="2540" b="5715"/>
            <wp:docPr id="296773933" name="Picture 1" descr="A structure chart showing 3 levels. At the top level are the CEO and Commissioner connected to each other. On the second level, the Audit and risk committee is connected to the CEO, the Executive Leadership Committee is connected to the CEO and Commissioner. On the third level, the Corporate Governance, WHS, and Consultative committees are connected to the CEO, the Operations Governance Committee is connected to the Commiss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73933" name="Picture 1" descr="A structure chart showing 3 levels. At the top level are the CEO and Commissioner connected to each other. On the second level, the Audit and risk committee is connected to the CEO, the Executive Leadership Committee is connected to the CEO and Commissioner. On the third level, the Corporate Governance, WHS, and Consultative committees are connected to the CEO, the Operations Governance Committee is connected to the Commissione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3042917"/>
                    </a:xfrm>
                    <a:prstGeom prst="rect">
                      <a:avLst/>
                    </a:prstGeom>
                    <a:noFill/>
                    <a:ln>
                      <a:noFill/>
                    </a:ln>
                    <a:extLst>
                      <a:ext uri="{53640926-AAD7-44D8-BBD7-CCE9431645EC}">
                        <a14:shadowObscured xmlns:a14="http://schemas.microsoft.com/office/drawing/2010/main"/>
                      </a:ext>
                    </a:extLst>
                  </pic:spPr>
                </pic:pic>
              </a:graphicData>
            </a:graphic>
          </wp:inline>
        </w:drawing>
      </w:r>
    </w:p>
    <w:p w14:paraId="0CAFEC13" w14:textId="50A984B0" w:rsidR="002209C8" w:rsidRPr="002679AD" w:rsidRDefault="002209C8" w:rsidP="00474885">
      <w:pPr>
        <w:pStyle w:val="Heading1"/>
      </w:pPr>
      <w:bookmarkStart w:id="70" w:name="_Performance"/>
      <w:bookmarkStart w:id="71" w:name="_Toc236917913"/>
      <w:bookmarkEnd w:id="70"/>
      <w:r w:rsidRPr="00474885">
        <w:lastRenderedPageBreak/>
        <w:t>Performance</w:t>
      </w:r>
      <w:bookmarkEnd w:id="68"/>
      <w:bookmarkEnd w:id="69"/>
      <w:bookmarkEnd w:id="71"/>
    </w:p>
    <w:p w14:paraId="63CF7F9C" w14:textId="77777777" w:rsidR="005F7EFA" w:rsidRPr="004325D3" w:rsidRDefault="56F2D953" w:rsidP="00474885">
      <w:pPr>
        <w:pStyle w:val="Heading2"/>
        <w:spacing w:before="360" w:after="240"/>
      </w:pPr>
      <w:bookmarkStart w:id="72" w:name="_Toc236917914"/>
      <w:r w:rsidRPr="00474885">
        <w:t>Performance</w:t>
      </w:r>
      <w:r w:rsidRPr="00B44C6B">
        <w:t xml:space="preserve"> measures and targets</w:t>
      </w:r>
      <w:bookmarkEnd w:id="72"/>
    </w:p>
    <w:p w14:paraId="28B2EB73" w14:textId="77777777" w:rsidR="00F575CC" w:rsidRDefault="005F7EFA" w:rsidP="00474885">
      <w:r>
        <w:t>The Commission has 3 key performance indicators (KPIs) for 2026–27 included in the Portfolio Budget Statements. These KPIs are linked to the Commission’s key activities</w:t>
      </w:r>
      <w:r w:rsidR="00881022">
        <w:t>.</w:t>
      </w:r>
      <w:r w:rsidR="00761914">
        <w:t xml:space="preserve"> KPIs and KPI targets </w:t>
      </w:r>
      <w:r w:rsidR="00516AD3">
        <w:t>will be</w:t>
      </w:r>
      <w:r w:rsidR="00761914">
        <w:t xml:space="preserve"> reviewed by the Commission annually</w:t>
      </w:r>
      <w:r w:rsidR="00C7519E">
        <w:t xml:space="preserve"> </w:t>
      </w:r>
      <w:r w:rsidR="00516AD3">
        <w:t>over the life of this plan.</w:t>
      </w:r>
    </w:p>
    <w:p w14:paraId="1D56DAAF" w14:textId="50F02B1E" w:rsidR="008F56BB" w:rsidRPr="002679AD" w:rsidRDefault="008F56BB" w:rsidP="00474885">
      <w:pPr>
        <w:rPr>
          <w:rFonts w:eastAsia="Work Sans" w:cs="Times New Roman"/>
          <w:color w:val="2F3A48"/>
        </w:rPr>
      </w:pPr>
      <w:r w:rsidRPr="002679AD">
        <w:rPr>
          <w:rFonts w:eastAsia="Work Sans" w:cs="Times New Roman"/>
          <w:color w:val="2F3A48"/>
        </w:rPr>
        <w:t>The Commission monitors its performance against reporting requirements through regular internal reporting. Reports are provided to the Corporate Governance Committee, Executive Leadership Committee and Audit and Risk Committee on a quarterly basis.</w:t>
      </w:r>
    </w:p>
    <w:p w14:paraId="2920F2B5" w14:textId="20DE6693" w:rsidR="008F56BB" w:rsidRPr="006E62D9" w:rsidRDefault="008F56BB" w:rsidP="00474885">
      <w:pPr>
        <w:rPr>
          <w:rFonts w:eastAsia="Work Sans" w:cs="Times New Roman"/>
          <w:b/>
          <w:color w:val="1B598C"/>
        </w:rPr>
      </w:pPr>
      <w:r w:rsidRPr="002679AD">
        <w:rPr>
          <w:rFonts w:eastAsia="Work Sans" w:cs="Times New Roman"/>
          <w:color w:val="2F3A48"/>
        </w:rPr>
        <w:t>The Commission reports performance information for ACLEI legacy matters alongside results for activity commenced under the NACC Act. Additionally, in the Commission’s annual report, an Appendix provides a summary o</w:t>
      </w:r>
      <w:r w:rsidR="00F31EBF">
        <w:rPr>
          <w:rFonts w:eastAsia="Work Sans" w:cs="Times New Roman"/>
          <w:color w:val="2F3A48"/>
        </w:rPr>
        <w:t>f</w:t>
      </w:r>
      <w:r w:rsidRPr="002679AD">
        <w:rPr>
          <w:rFonts w:eastAsia="Work Sans" w:cs="Times New Roman"/>
          <w:color w:val="2F3A48"/>
        </w:rPr>
        <w:t xml:space="preserve"> the Commission’s overall progress in finalising all ACLEI legacy matters.</w:t>
      </w:r>
      <w:r w:rsidRPr="00474885">
        <w:br w:type="page"/>
      </w:r>
    </w:p>
    <w:p w14:paraId="700BDF52" w14:textId="48B9B14D" w:rsidR="008F56BB" w:rsidRPr="006E62D9" w:rsidRDefault="008F56BB" w:rsidP="00281F94">
      <w:r w:rsidRPr="00281F94">
        <w:rPr>
          <w:rFonts w:ascii="Work Sans SemiBold" w:hAnsi="Work Sans SemiBold"/>
          <w:bCs/>
          <w:color w:val="1B598C"/>
        </w:rPr>
        <w:lastRenderedPageBreak/>
        <w:t>KPI 1.1</w:t>
      </w:r>
      <w:r w:rsidRPr="006E62D9">
        <w:rPr>
          <w:b/>
          <w:color w:val="1B598C"/>
        </w:rPr>
        <w:t xml:space="preserve"> </w:t>
      </w:r>
      <w:r w:rsidRPr="00281F94">
        <w:t>Percentage of referrals assessed within 90 days</w:t>
      </w:r>
    </w:p>
    <w:tbl>
      <w:tblPr>
        <w:tblStyle w:val="TableGrid2"/>
        <w:tblW w:w="0" w:type="auto"/>
        <w:tblLook w:val="0480" w:firstRow="0" w:lastRow="0" w:firstColumn="1" w:lastColumn="0" w:noHBand="0" w:noVBand="1"/>
      </w:tblPr>
      <w:tblGrid>
        <w:gridCol w:w="2445"/>
        <w:gridCol w:w="6581"/>
      </w:tblGrid>
      <w:tr w:rsidR="001537B5" w:rsidRPr="003E22F6" w14:paraId="16EC6C14" w14:textId="77777777" w:rsidTr="00A94D93">
        <w:trPr>
          <w:trHeight w:val="60"/>
        </w:trPr>
        <w:tc>
          <w:tcPr>
            <w:tcW w:w="2445" w:type="dxa"/>
            <w:tcBorders>
              <w:top w:val="single" w:sz="8" w:space="0" w:color="2F3A48" w:themeColor="accent6"/>
              <w:left w:val="nil"/>
              <w:bottom w:val="single" w:sz="8" w:space="0" w:color="2F3A48" w:themeColor="accent6"/>
              <w:right w:val="nil"/>
            </w:tcBorders>
            <w:tcMar>
              <w:left w:w="108" w:type="dxa"/>
              <w:right w:w="108" w:type="dxa"/>
            </w:tcMar>
          </w:tcPr>
          <w:p w14:paraId="0762E305" w14:textId="77777777" w:rsidR="001537B5" w:rsidRPr="00281F94" w:rsidRDefault="001537B5" w:rsidP="001537B5">
            <w:pPr>
              <w:rPr>
                <w:rFonts w:ascii="Work Sans Medium" w:eastAsia="Work Sans Medium" w:hAnsi="Work Sans Medium" w:cs="Work Sans Medium"/>
                <w:color w:val="2F3A48"/>
                <w:lang w:val="en-AU"/>
              </w:rPr>
            </w:pPr>
            <w:bookmarkStart w:id="73" w:name="RowTitle_01"/>
            <w:bookmarkEnd w:id="73"/>
            <w:r w:rsidRPr="00281F94">
              <w:rPr>
                <w:rFonts w:ascii="Work Sans Medium" w:eastAsia="Work Sans Medium" w:hAnsi="Work Sans Medium" w:cs="Work Sans Medium"/>
                <w:color w:val="2F3A48"/>
                <w:lang w:val="en-AU"/>
              </w:rPr>
              <w:t>Type of measure</w:t>
            </w:r>
          </w:p>
        </w:tc>
        <w:tc>
          <w:tcPr>
            <w:tcW w:w="6581" w:type="dxa"/>
            <w:tcBorders>
              <w:top w:val="single" w:sz="8" w:space="0" w:color="2F3A48" w:themeColor="accent6"/>
              <w:left w:val="nil"/>
              <w:bottom w:val="single" w:sz="8" w:space="0" w:color="2F3A48" w:themeColor="accent6"/>
              <w:right w:val="nil"/>
            </w:tcBorders>
            <w:tcMar>
              <w:left w:w="108" w:type="dxa"/>
              <w:right w:w="108" w:type="dxa"/>
            </w:tcMar>
          </w:tcPr>
          <w:p w14:paraId="77ABDA8E" w14:textId="16D3A9C5" w:rsidR="001537B5" w:rsidRPr="002679AD" w:rsidRDefault="001537B5" w:rsidP="001537B5">
            <w:pPr>
              <w:rPr>
                <w:rFonts w:eastAsia="Work Sans" w:cs="Work Sans"/>
                <w:color w:val="2F3A48"/>
                <w:lang w:val="en-AU"/>
              </w:rPr>
            </w:pPr>
            <w:r w:rsidRPr="002679AD">
              <w:rPr>
                <w:rFonts w:eastAsia="Work Sans" w:cs="Work Sans"/>
                <w:color w:val="2F3A48"/>
                <w:lang w:val="en-AU"/>
              </w:rPr>
              <w:t>Productivity</w:t>
            </w:r>
          </w:p>
        </w:tc>
      </w:tr>
      <w:tr w:rsidR="001537B5" w:rsidRPr="003E22F6" w14:paraId="4DAA0E16" w14:textId="77777777" w:rsidTr="00A94D93">
        <w:trPr>
          <w:trHeight w:val="60"/>
        </w:trPr>
        <w:tc>
          <w:tcPr>
            <w:tcW w:w="2445" w:type="dxa"/>
            <w:tcBorders>
              <w:top w:val="single" w:sz="8" w:space="0" w:color="2F3A48" w:themeColor="accent6"/>
              <w:left w:val="nil"/>
              <w:bottom w:val="single" w:sz="8" w:space="0" w:color="2F3A48" w:themeColor="accent6"/>
              <w:right w:val="nil"/>
            </w:tcBorders>
            <w:shd w:val="clear" w:color="auto" w:fill="F4F7F9"/>
            <w:tcMar>
              <w:left w:w="108" w:type="dxa"/>
              <w:right w:w="108" w:type="dxa"/>
            </w:tcMar>
          </w:tcPr>
          <w:p w14:paraId="06FB03BA" w14:textId="77777777" w:rsidR="001537B5" w:rsidRPr="00281F94" w:rsidRDefault="001537B5" w:rsidP="001537B5">
            <w:pPr>
              <w:rPr>
                <w:rFonts w:ascii="Work Sans Medium" w:eastAsia="Work Sans Medium" w:hAnsi="Work Sans Medium" w:cs="Work Sans Medium"/>
                <w:color w:val="2F3A48"/>
                <w:lang w:val="en-AU"/>
              </w:rPr>
            </w:pPr>
            <w:r w:rsidRPr="00281F94">
              <w:rPr>
                <w:rFonts w:ascii="Work Sans Medium" w:eastAsia="Work Sans Medium" w:hAnsi="Work Sans Medium" w:cs="Work Sans Medium"/>
                <w:color w:val="2F3A48"/>
                <w:lang w:val="en-AU"/>
              </w:rPr>
              <w:t>Target</w:t>
            </w:r>
          </w:p>
        </w:tc>
        <w:tc>
          <w:tcPr>
            <w:tcW w:w="6581" w:type="dxa"/>
            <w:tcBorders>
              <w:top w:val="single" w:sz="8" w:space="0" w:color="2F3A48" w:themeColor="accent6"/>
              <w:left w:val="nil"/>
              <w:bottom w:val="single" w:sz="8" w:space="0" w:color="2F3A48" w:themeColor="accent6"/>
              <w:right w:val="nil"/>
            </w:tcBorders>
            <w:shd w:val="clear" w:color="auto" w:fill="F4F7F9"/>
            <w:tcMar>
              <w:left w:w="108" w:type="dxa"/>
              <w:right w:w="108" w:type="dxa"/>
            </w:tcMar>
          </w:tcPr>
          <w:p w14:paraId="66CA9C7B" w14:textId="77777777" w:rsidR="001537B5" w:rsidRPr="002679AD" w:rsidRDefault="001537B5" w:rsidP="001537B5">
            <w:pPr>
              <w:rPr>
                <w:rFonts w:eastAsia="Work Sans" w:cs="Work Sans"/>
                <w:color w:val="2F3A48"/>
                <w:lang w:val="en-AU"/>
              </w:rPr>
            </w:pPr>
            <w:r w:rsidRPr="002679AD">
              <w:rPr>
                <w:rFonts w:eastAsia="Work Sans" w:cs="Work Sans"/>
                <w:color w:val="2F3A48"/>
                <w:lang w:val="en-AU"/>
              </w:rPr>
              <w:t>80%</w:t>
            </w:r>
          </w:p>
          <w:p w14:paraId="05E21771" w14:textId="17522D82" w:rsidR="001537B5" w:rsidRPr="002679AD" w:rsidRDefault="001537B5" w:rsidP="001537B5">
            <w:pPr>
              <w:rPr>
                <w:rFonts w:eastAsia="Work Sans" w:cs="Work Sans"/>
                <w:color w:val="2F3A48"/>
                <w:lang w:val="en-AU"/>
              </w:rPr>
            </w:pPr>
            <w:r w:rsidRPr="002679AD">
              <w:rPr>
                <w:rFonts w:eastAsia="Work Sans" w:cs="Work Sans"/>
                <w:color w:val="2F3A48"/>
                <w:lang w:val="en-AU"/>
              </w:rPr>
              <w:t xml:space="preserve">Target is per </w:t>
            </w:r>
            <w:r w:rsidR="00881022">
              <w:rPr>
                <w:rFonts w:eastAsia="Work Sans" w:cs="Work Sans"/>
                <w:color w:val="2F3A48"/>
                <w:lang w:val="en-AU"/>
              </w:rPr>
              <w:t xml:space="preserve">financial </w:t>
            </w:r>
            <w:r w:rsidRPr="002679AD">
              <w:rPr>
                <w:rFonts w:eastAsia="Work Sans" w:cs="Work Sans"/>
                <w:color w:val="2F3A48"/>
                <w:lang w:val="en-AU"/>
              </w:rPr>
              <w:t>year across the life of the plan</w:t>
            </w:r>
          </w:p>
        </w:tc>
      </w:tr>
      <w:tr w:rsidR="001537B5" w:rsidRPr="003E22F6" w14:paraId="42578776" w14:textId="77777777" w:rsidTr="00A94D93">
        <w:trPr>
          <w:trHeight w:val="60"/>
        </w:trPr>
        <w:tc>
          <w:tcPr>
            <w:tcW w:w="2445" w:type="dxa"/>
            <w:tcBorders>
              <w:top w:val="single" w:sz="8" w:space="0" w:color="2F3A48" w:themeColor="accent6"/>
              <w:left w:val="nil"/>
              <w:bottom w:val="single" w:sz="8" w:space="0" w:color="2F3A48" w:themeColor="accent6"/>
              <w:right w:val="nil"/>
            </w:tcBorders>
            <w:tcMar>
              <w:left w:w="108" w:type="dxa"/>
              <w:right w:w="108" w:type="dxa"/>
            </w:tcMar>
          </w:tcPr>
          <w:p w14:paraId="0FEB3923" w14:textId="77777777" w:rsidR="001537B5" w:rsidRPr="00281F94" w:rsidRDefault="26A2AEF5" w:rsidP="001537B5">
            <w:pPr>
              <w:spacing w:before="120" w:after="120"/>
              <w:rPr>
                <w:rFonts w:ascii="Aptos" w:hAnsi="Aptos" w:cs="Arial"/>
                <w:lang w:val="en-AU"/>
              </w:rPr>
            </w:pPr>
            <w:r w:rsidRPr="00281F94">
              <w:rPr>
                <w:rFonts w:ascii="Work Sans Medium" w:eastAsia="Work Sans Medium" w:hAnsi="Work Sans Medium" w:cs="Work Sans Medium"/>
                <w:color w:val="2F3A48" w:themeColor="accent6"/>
                <w:lang w:val="en-AU"/>
              </w:rPr>
              <w:t>Changes from the previous year</w:t>
            </w:r>
          </w:p>
        </w:tc>
        <w:tc>
          <w:tcPr>
            <w:tcW w:w="6581" w:type="dxa"/>
            <w:tcBorders>
              <w:top w:val="single" w:sz="8" w:space="0" w:color="2F3A48" w:themeColor="accent6"/>
              <w:left w:val="nil"/>
              <w:bottom w:val="single" w:sz="8" w:space="0" w:color="2F3A48" w:themeColor="accent6"/>
              <w:right w:val="nil"/>
            </w:tcBorders>
            <w:tcMar>
              <w:left w:w="108" w:type="dxa"/>
              <w:right w:w="108" w:type="dxa"/>
            </w:tcMar>
          </w:tcPr>
          <w:p w14:paraId="3838165A" w14:textId="77777777" w:rsidR="00F575CC" w:rsidRDefault="001537B5" w:rsidP="001537B5">
            <w:pPr>
              <w:spacing w:before="120" w:after="120"/>
              <w:rPr>
                <w:rFonts w:eastAsia="Work Sans" w:cs="Work Sans"/>
                <w:color w:val="2F3A48"/>
                <w:lang w:val="en-AU"/>
              </w:rPr>
            </w:pPr>
            <w:r w:rsidRPr="002679AD">
              <w:rPr>
                <w:rFonts w:eastAsia="Work Sans" w:cs="Work Sans"/>
                <w:color w:val="2F3A48"/>
                <w:lang w:val="en-AU"/>
              </w:rPr>
              <w:t>The KPI methodology remains as per previous years. However, there are some changes in the supporting data due to clarification of case type inclusions.</w:t>
            </w:r>
          </w:p>
          <w:p w14:paraId="4BB6E40C" w14:textId="6481BBFD" w:rsidR="001537B5" w:rsidRPr="002679AD" w:rsidRDefault="001537B5" w:rsidP="001537B5">
            <w:pPr>
              <w:spacing w:before="120" w:after="120"/>
              <w:rPr>
                <w:rFonts w:eastAsia="Work Sans" w:cs="Work Sans"/>
                <w:color w:val="2F3A48"/>
                <w:lang w:val="en-AU"/>
              </w:rPr>
            </w:pPr>
            <w:r w:rsidRPr="00281F94">
              <w:rPr>
                <w:rFonts w:ascii="Work Sans SemiBold" w:eastAsia="Work Sans" w:hAnsi="Work Sans SemiBold" w:cs="Work Sans"/>
                <w:color w:val="2F3A48"/>
                <w:lang w:val="en-AU"/>
              </w:rPr>
              <w:t>Change:</w:t>
            </w:r>
            <w:r w:rsidRPr="002679AD">
              <w:rPr>
                <w:rFonts w:eastAsia="Work Sans" w:cs="Work Sans"/>
                <w:b/>
                <w:bCs/>
                <w:color w:val="2F3A48"/>
                <w:lang w:val="en-AU"/>
              </w:rPr>
              <w:t xml:space="preserve"> </w:t>
            </w:r>
            <w:r w:rsidRPr="002679AD">
              <w:rPr>
                <w:rFonts w:eastAsia="Work Sans" w:cs="Work Sans"/>
                <w:i/>
                <w:iCs/>
                <w:color w:val="2F3A48"/>
                <w:lang w:val="en-AU"/>
              </w:rPr>
              <w:t>Own initiative</w:t>
            </w:r>
            <w:r w:rsidRPr="002679AD">
              <w:rPr>
                <w:rFonts w:eastAsia="Work Sans" w:cs="Work Sans"/>
                <w:color w:val="2F3A48"/>
                <w:lang w:val="en-AU"/>
              </w:rPr>
              <w:t xml:space="preserve"> corruption issue case types are no longer counted toward this KPI calculation. While they undergo a similar assessment process, own initiative cases are not referrals under the NACC Act but rather a type of corruption issue as per ss</w:t>
            </w:r>
            <w:r w:rsidR="001429B5">
              <w:rPr>
                <w:rFonts w:eastAsia="Work Sans" w:cs="Work Sans"/>
                <w:color w:val="2F3A48"/>
                <w:lang w:val="en-AU"/>
              </w:rPr>
              <w:t> </w:t>
            </w:r>
            <w:r w:rsidRPr="002679AD">
              <w:rPr>
                <w:rFonts w:eastAsia="Work Sans" w:cs="Work Sans"/>
                <w:color w:val="2F3A48"/>
                <w:lang w:val="en-AU"/>
              </w:rPr>
              <w:t>40(1)(b) and 40(2). Own initiative corruption issues are identified through the course of the NACC’s own activities.</w:t>
            </w:r>
          </w:p>
        </w:tc>
      </w:tr>
    </w:tbl>
    <w:p w14:paraId="69FC2AA6" w14:textId="77777777" w:rsidR="00F8187E" w:rsidRDefault="009E5597" w:rsidP="00281F94">
      <w:pPr>
        <w:pStyle w:val="Heading3"/>
        <w:spacing w:before="360" w:after="240"/>
      </w:pPr>
      <w:r w:rsidRPr="009E5597">
        <w:t>KPI 1.1</w:t>
      </w:r>
    </w:p>
    <w:p w14:paraId="32F4914F" w14:textId="4AF17723" w:rsidR="001537B5" w:rsidRPr="002679AD" w:rsidRDefault="00F8187E" w:rsidP="00F8187E">
      <w:pPr>
        <w:pStyle w:val="Heading4"/>
      </w:pPr>
      <w:r>
        <w:t>T</w:t>
      </w:r>
      <w:r w:rsidR="001537B5" w:rsidRPr="006E62D9">
        <w:t xml:space="preserve">arget </w:t>
      </w:r>
      <w:r w:rsidR="001537B5" w:rsidRPr="00281F94">
        <w:t>rationale</w:t>
      </w:r>
    </w:p>
    <w:p w14:paraId="6B775C90" w14:textId="77777777" w:rsidR="001537B5" w:rsidRPr="006E62D9" w:rsidRDefault="001537B5" w:rsidP="00281F94">
      <w:r w:rsidRPr="006E62D9">
        <w:t>The target for percentage of referrals assessed within 90 days remains appropriate and commensurate with resources.</w:t>
      </w:r>
    </w:p>
    <w:p w14:paraId="5D26EA7C" w14:textId="27346AB9" w:rsidR="001537B5" w:rsidRPr="006E62D9" w:rsidRDefault="001537B5" w:rsidP="00281F94">
      <w:r w:rsidRPr="006E62D9">
        <w:t>While the Commission exceeded the target in 2024</w:t>
      </w:r>
      <w:r w:rsidR="00933573">
        <w:t>–</w:t>
      </w:r>
      <w:r w:rsidRPr="006E62D9">
        <w:t>25, it was not met in 2025</w:t>
      </w:r>
      <w:r w:rsidR="00933573">
        <w:t>–</w:t>
      </w:r>
      <w:r w:rsidRPr="006E62D9">
        <w:t>26 due to resourcing constraints and a focus on finalising the backlog of matters received in 2023</w:t>
      </w:r>
      <w:r w:rsidR="00933573">
        <w:t>–</w:t>
      </w:r>
      <w:r w:rsidRPr="006E62D9">
        <w:t>24 and 2024</w:t>
      </w:r>
      <w:r w:rsidR="00933573">
        <w:t>–</w:t>
      </w:r>
      <w:r w:rsidRPr="006E62D9">
        <w:t xml:space="preserve">25. Over the </w:t>
      </w:r>
      <w:r w:rsidR="00BD1E81">
        <w:t>4</w:t>
      </w:r>
      <w:r w:rsidR="00BD1E81" w:rsidRPr="006E62D9">
        <w:t xml:space="preserve"> </w:t>
      </w:r>
      <w:r w:rsidRPr="006E62D9">
        <w:t>years of this plan, an 80% target remains appropriate and achievable once backlogs and resourcing have stabilised.</w:t>
      </w:r>
    </w:p>
    <w:p w14:paraId="38FE7FB9" w14:textId="77777777" w:rsidR="001537B5" w:rsidRPr="006E62D9" w:rsidRDefault="001537B5" w:rsidP="00281F94">
      <w:r w:rsidRPr="006E62D9">
        <w:lastRenderedPageBreak/>
        <w:t>As the Commission commences its fourth year of operation, this approach provides a stable and repeatable figure and supports year-on-year comparison as processes mature. This will then allow the Commission to reassess this target to ensure it is realistic for future years and determine whether updating this KPI or creating new KPIs on referral assessment timeframes should be considered.</w:t>
      </w:r>
    </w:p>
    <w:p w14:paraId="1676AC88" w14:textId="78A8D033" w:rsidR="001537B5" w:rsidRPr="006E62D9" w:rsidRDefault="001537B5" w:rsidP="00F8187E">
      <w:pPr>
        <w:pStyle w:val="Heading4"/>
        <w:rPr>
          <w:rFonts w:eastAsia="Work Sans" w:cs="Work Sans"/>
          <w:highlight w:val="yellow"/>
        </w:rPr>
      </w:pPr>
      <w:r w:rsidRPr="002679AD">
        <w:t>How</w:t>
      </w:r>
      <w:r w:rsidR="009E5597" w:rsidRPr="009E5597">
        <w:t xml:space="preserve"> </w:t>
      </w:r>
      <w:r w:rsidR="00F8187E">
        <w:t>this measure</w:t>
      </w:r>
      <w:r w:rsidRPr="002679AD">
        <w:t xml:space="preserve"> achieves the Commission’s purpose (</w:t>
      </w:r>
      <w:r w:rsidR="00386C02">
        <w:t>s</w:t>
      </w:r>
      <w:r w:rsidR="00386C02" w:rsidRPr="002679AD">
        <w:t xml:space="preserve">trengths </w:t>
      </w:r>
      <w:r w:rsidRPr="002679AD">
        <w:t>and limitations)</w:t>
      </w:r>
    </w:p>
    <w:p w14:paraId="6D9EC358" w14:textId="77777777" w:rsidR="00F575CC" w:rsidRDefault="001537B5" w:rsidP="00281F94">
      <w:r w:rsidRPr="006E62D9">
        <w:t xml:space="preserve">This measure tracks productivity under </w:t>
      </w:r>
      <w:r w:rsidRPr="00281F94">
        <w:rPr>
          <w:i/>
          <w:iCs/>
        </w:rPr>
        <w:t>Key Activity 2: receiving and assessing referrals of alleged corrupt conduct.</w:t>
      </w:r>
    </w:p>
    <w:p w14:paraId="7775D02E" w14:textId="2415A66F" w:rsidR="001537B5" w:rsidRPr="006E62D9" w:rsidRDefault="001537B5" w:rsidP="00281F94">
      <w:r w:rsidRPr="006E62D9">
        <w:t xml:space="preserve">In line with the Commission’s purpose, this measure aims to ensure the Commission efficiently actions referrals and, where appropriate, progresses these </w:t>
      </w:r>
      <w:proofErr w:type="spellStart"/>
      <w:r w:rsidRPr="006E62D9">
        <w:t>to</w:t>
      </w:r>
      <w:proofErr w:type="spellEnd"/>
      <w:r w:rsidRPr="006E62D9">
        <w:t xml:space="preserve"> investigation in a timely manner.</w:t>
      </w:r>
    </w:p>
    <w:p w14:paraId="7DC06014" w14:textId="687FA2B3" w:rsidR="001537B5" w:rsidRPr="006E62D9" w:rsidRDefault="001537B5" w:rsidP="00281F94">
      <w:r w:rsidRPr="006E62D9">
        <w:t xml:space="preserve">The methodology for KPI 1.1 allows for analysis specific to each reporting period as required by the Commonwealth Performance Framework. However, the Commission acknowledges the limitations of the KPI as it is currently described, specifically in relation to referrals that remain open beyond the 90-day target timeframe. This is why details on the open referral caseload are included alongside the KPI results published </w:t>
      </w:r>
      <w:r w:rsidR="00E046CF">
        <w:t xml:space="preserve">in the </w:t>
      </w:r>
      <w:r w:rsidRPr="006E62D9">
        <w:t>Commission’s Annual Report and in the analysis of performance.</w:t>
      </w:r>
    </w:p>
    <w:p w14:paraId="5832EAB5" w14:textId="558B4DBA" w:rsidR="001537B5" w:rsidRPr="006E62D9" w:rsidRDefault="00F8187E" w:rsidP="00F8187E">
      <w:pPr>
        <w:pStyle w:val="Heading4"/>
      </w:pPr>
      <w:r>
        <w:t>M</w:t>
      </w:r>
      <w:r w:rsidR="001537B5" w:rsidRPr="00281F94">
        <w:t>ethodology</w:t>
      </w:r>
    </w:p>
    <w:p w14:paraId="3462FCF1" w14:textId="77777777" w:rsidR="001537B5" w:rsidRPr="006E62D9" w:rsidRDefault="001537B5" w:rsidP="00281F94">
      <w:r w:rsidRPr="006E62D9">
        <w:t>The result is calculated by taking the number of referral assessments finalised in the reporting period where the assessment duration is less than 90 days from the date of receipt as a percentage of the total number of referral assessments finalised in the reporting period.</w:t>
      </w:r>
    </w:p>
    <w:p w14:paraId="548E8590" w14:textId="2A24076B" w:rsidR="001537B5" w:rsidRPr="006E62D9" w:rsidRDefault="001537B5" w:rsidP="00281F94">
      <w:r w:rsidRPr="006E62D9">
        <w:t xml:space="preserve">A </w:t>
      </w:r>
      <w:r w:rsidRPr="00EE0B1E">
        <w:t>referral</w:t>
      </w:r>
      <w:r w:rsidRPr="006E62D9">
        <w:t xml:space="preserve"> is information received by the Commission under s</w:t>
      </w:r>
      <w:r w:rsidR="00EE0B1E">
        <w:t>s</w:t>
      </w:r>
      <w:r w:rsidRPr="006E62D9">
        <w:t xml:space="preserve"> 32, 33, 34 or 35 of the NACC Act. This includes:</w:t>
      </w:r>
    </w:p>
    <w:p w14:paraId="5FAAFC2B" w14:textId="77777777" w:rsidR="00F575CC" w:rsidRDefault="001537B5" w:rsidP="00281F94">
      <w:pPr>
        <w:pStyle w:val="Bullet1"/>
      </w:pPr>
      <w:r w:rsidRPr="008246CB">
        <w:lastRenderedPageBreak/>
        <w:t>Voluntary referrals</w:t>
      </w:r>
      <w:r w:rsidRPr="006E62D9">
        <w:t xml:space="preserve">: anyone may refer a corruption issue or provide </w:t>
      </w:r>
      <w:r w:rsidRPr="00DB120A">
        <w:rPr>
          <w:lang w:val="en-GB"/>
        </w:rPr>
        <w:t>information</w:t>
      </w:r>
      <w:r w:rsidRPr="006E62D9">
        <w:t xml:space="preserve"> about a corruption issue to the Commission (s 32). The Commission differentiates between </w:t>
      </w:r>
      <w:r w:rsidR="00E91B3E">
        <w:t>2</w:t>
      </w:r>
      <w:r w:rsidR="00E91B3E" w:rsidRPr="006E62D9">
        <w:t xml:space="preserve"> </w:t>
      </w:r>
      <w:r w:rsidRPr="006E62D9">
        <w:t>categories of voluntary referral:</w:t>
      </w:r>
    </w:p>
    <w:p w14:paraId="59234CB3" w14:textId="77777777" w:rsidR="00F575CC" w:rsidRPr="00281F94" w:rsidRDefault="001537B5" w:rsidP="00281F94">
      <w:pPr>
        <w:pStyle w:val="Bullet2"/>
        <w:rPr>
          <w:szCs w:val="24"/>
        </w:rPr>
      </w:pPr>
      <w:r w:rsidRPr="00281F94">
        <w:rPr>
          <w:szCs w:val="24"/>
        </w:rPr>
        <w:t>Voluntary public report</w:t>
      </w:r>
      <w:r w:rsidRPr="00281F94">
        <w:rPr>
          <w:szCs w:val="24"/>
          <w:u w:val="single"/>
        </w:rPr>
        <w:t>:</w:t>
      </w:r>
      <w:r w:rsidRPr="00281F94">
        <w:rPr>
          <w:szCs w:val="24"/>
        </w:rPr>
        <w:t xml:space="preserve"> voluntary referrals received from the public</w:t>
      </w:r>
    </w:p>
    <w:p w14:paraId="08312B7B" w14:textId="77777777" w:rsidR="00F575CC" w:rsidRPr="00281F94" w:rsidRDefault="001537B5" w:rsidP="00281F94">
      <w:pPr>
        <w:pStyle w:val="Bullet2"/>
        <w:rPr>
          <w:szCs w:val="24"/>
        </w:rPr>
      </w:pPr>
      <w:r w:rsidRPr="00281F94">
        <w:rPr>
          <w:szCs w:val="24"/>
        </w:rPr>
        <w:t xml:space="preserve">Voluntary </w:t>
      </w:r>
      <w:r w:rsidR="00E91B3E" w:rsidRPr="00281F94">
        <w:rPr>
          <w:szCs w:val="24"/>
        </w:rPr>
        <w:t xml:space="preserve">Commonwealth </w:t>
      </w:r>
      <w:r w:rsidRPr="00281F94">
        <w:rPr>
          <w:szCs w:val="24"/>
        </w:rPr>
        <w:t>agency: referrals from Commonwealth agencies that do not meet the criteria of mandatory referrals</w:t>
      </w:r>
    </w:p>
    <w:p w14:paraId="3E48F4C8" w14:textId="30A01422" w:rsidR="001537B5" w:rsidRPr="006E62D9" w:rsidRDefault="001537B5" w:rsidP="00281F94">
      <w:pPr>
        <w:pStyle w:val="Bullet1"/>
      </w:pPr>
      <w:r w:rsidRPr="00281F94">
        <w:t>Mandatory</w:t>
      </w:r>
      <w:r w:rsidRPr="008246CB">
        <w:t xml:space="preserve"> referrals</w:t>
      </w:r>
      <w:r w:rsidRPr="006E62D9">
        <w:t xml:space="preserve">: </w:t>
      </w:r>
      <w:r w:rsidRPr="00DB120A">
        <w:rPr>
          <w:lang w:val="en-GB"/>
        </w:rPr>
        <w:t>referrals</w:t>
      </w:r>
      <w:r w:rsidRPr="006E62D9">
        <w:t xml:space="preserve"> where there are mandatory obligations to report to the Commission. This includes:</w:t>
      </w:r>
    </w:p>
    <w:p w14:paraId="6016F5EF" w14:textId="77777777" w:rsidR="00F575CC" w:rsidRDefault="001537B5" w:rsidP="00281F94">
      <w:pPr>
        <w:pStyle w:val="Bullet2"/>
      </w:pPr>
      <w:r w:rsidRPr="008246CB">
        <w:t>Mandatory Commonwealth agency</w:t>
      </w:r>
      <w:r w:rsidRPr="00E91B3E">
        <w:t xml:space="preserve"> (s 33)</w:t>
      </w:r>
    </w:p>
    <w:p w14:paraId="236581E6" w14:textId="103BC591" w:rsidR="001537B5" w:rsidRPr="00E91B3E" w:rsidRDefault="001537B5" w:rsidP="00281F94">
      <w:pPr>
        <w:pStyle w:val="Bullet2"/>
      </w:pPr>
      <w:r w:rsidRPr="002731DA">
        <w:t>Mandatory Commonwealth intelligence agencies</w:t>
      </w:r>
      <w:r w:rsidRPr="00E91B3E">
        <w:t xml:space="preserve"> (s 34)</w:t>
      </w:r>
    </w:p>
    <w:p w14:paraId="0835161F" w14:textId="502FB323" w:rsidR="001537B5" w:rsidRPr="0055078B" w:rsidRDefault="001537B5" w:rsidP="00281F94">
      <w:pPr>
        <w:pStyle w:val="Bullet2"/>
      </w:pPr>
      <w:r w:rsidRPr="002731DA">
        <w:t>Mandatory public interest disclosures</w:t>
      </w:r>
      <w:r w:rsidRPr="00E91B3E">
        <w:t xml:space="preserve"> (s 35)</w:t>
      </w:r>
    </w:p>
    <w:p w14:paraId="779E5443" w14:textId="315C1DAF" w:rsidR="001537B5" w:rsidRPr="006E62D9" w:rsidRDefault="001537B5" w:rsidP="00281F94">
      <w:r w:rsidRPr="00057064">
        <w:t>Exclusions:</w:t>
      </w:r>
      <w:r w:rsidRPr="006E62D9">
        <w:rPr>
          <w:i/>
          <w:iCs/>
        </w:rPr>
        <w:t xml:space="preserve"> </w:t>
      </w:r>
      <w:r w:rsidRPr="006E62D9">
        <w:t xml:space="preserve">The Commission receives </w:t>
      </w:r>
      <w:r w:rsidRPr="006E62D9">
        <w:rPr>
          <w:i/>
          <w:iCs/>
        </w:rPr>
        <w:t xml:space="preserve">enquiries </w:t>
      </w:r>
      <w:r w:rsidRPr="006E62D9">
        <w:t>which may or may not be related to existing referrals or operational activities. Enquiries are most often handled by the Commission’s Intake and Triage team but do not meet the criteria of a referral and are not counted toward the referrals total or toward KPI 1.1.</w:t>
      </w:r>
    </w:p>
    <w:p w14:paraId="1013869A" w14:textId="58CA1AA2" w:rsidR="001537B5" w:rsidRPr="006E62D9" w:rsidRDefault="001537B5" w:rsidP="00057064">
      <w:r w:rsidRPr="002679AD">
        <w:rPr>
          <w:i/>
          <w:iCs/>
        </w:rPr>
        <w:t>Own initiative</w:t>
      </w:r>
      <w:r w:rsidRPr="002679AD">
        <w:t xml:space="preserve"> corruption issue case types are not counted toward this KPI calculation. While they undergo a similar assessment process, own initiative cases are not referrals under the NACC Act but rather a type of corruption issue </w:t>
      </w:r>
      <w:r w:rsidR="00724F36">
        <w:t>(</w:t>
      </w:r>
      <w:r w:rsidRPr="002679AD">
        <w:t>ss 40(1)(b) and (2)</w:t>
      </w:r>
      <w:r w:rsidR="00724F36">
        <w:t>)</w:t>
      </w:r>
      <w:r w:rsidRPr="002679AD">
        <w:t>. Own initiative corruption issues are identified through the course of the NACC’s own activities.</w:t>
      </w:r>
    </w:p>
    <w:p w14:paraId="44E193E4" w14:textId="77777777" w:rsidR="00F575CC" w:rsidRDefault="001537B5" w:rsidP="00057064">
      <w:r w:rsidRPr="00994FB2">
        <w:t>Referral assessment duration</w:t>
      </w:r>
      <w:r w:rsidRPr="002679AD">
        <w:t xml:space="preserve"> is calculated as a count of the calendar days elapsed between the date received and date finalised, for each referral logged in the Commission’s case management system. This duration covers:</w:t>
      </w:r>
    </w:p>
    <w:p w14:paraId="0D8340A3" w14:textId="77777777" w:rsidR="00F575CC" w:rsidRPr="00057064" w:rsidRDefault="001537B5" w:rsidP="00057064">
      <w:pPr>
        <w:pStyle w:val="Bullet1"/>
      </w:pPr>
      <w:r w:rsidRPr="00057064">
        <w:lastRenderedPageBreak/>
        <w:t>receiving and triaging the referral, including to confirm the matter falls within the Commission’s jurisdiction and whether the matter is serious or systemic</w:t>
      </w:r>
    </w:p>
    <w:p w14:paraId="7F29D0B5" w14:textId="23C9BDCE" w:rsidR="001537B5" w:rsidRPr="00057064" w:rsidRDefault="001537B5" w:rsidP="00057064">
      <w:pPr>
        <w:pStyle w:val="Bullet1"/>
      </w:pPr>
      <w:r w:rsidRPr="00057064">
        <w:t>assessment and consideration of any decisions under s 41 of the NACC Act, including any time needed to acquire further information through a preliminary investigation under s 42 of the NACC Act</w:t>
      </w:r>
    </w:p>
    <w:p w14:paraId="5DF0A635" w14:textId="77777777" w:rsidR="00F575CC" w:rsidRPr="00057064" w:rsidRDefault="001537B5" w:rsidP="00057064">
      <w:pPr>
        <w:pStyle w:val="Bullet1"/>
      </w:pPr>
      <w:r w:rsidRPr="00057064">
        <w:t>administrative closure of the matter, including outcome correspondence, where appropriate.</w:t>
      </w:r>
    </w:p>
    <w:p w14:paraId="55E82320" w14:textId="2D2E228F" w:rsidR="001537B5" w:rsidRPr="002679AD" w:rsidRDefault="001537B5" w:rsidP="00057064">
      <w:r w:rsidRPr="002679AD">
        <w:t xml:space="preserve">The </w:t>
      </w:r>
      <w:r w:rsidRPr="00B352D8">
        <w:t>date received</w:t>
      </w:r>
      <w:r w:rsidRPr="002679AD">
        <w:t xml:space="preserve"> reflects the date the Commission received the referral, which is not necessarily the same as the date created in the case management system. While the date created is automatically generated and cannot be altered, the date received can be manually adjusted if required.</w:t>
      </w:r>
    </w:p>
    <w:p w14:paraId="38324D62" w14:textId="77777777" w:rsidR="00F575CC" w:rsidRDefault="001537B5" w:rsidP="00057064">
      <w:r w:rsidRPr="002679AD">
        <w:t xml:space="preserve">The </w:t>
      </w:r>
      <w:r w:rsidRPr="00B352D8">
        <w:t>date finalised</w:t>
      </w:r>
      <w:r w:rsidRPr="002679AD">
        <w:t xml:space="preserve"> reflects the date the referral progresses to a closed status. This can only occur once all decisions and administrative activities related to the referral assessment have been completed. In certain circumstances, a referral may be re-opened in the case management system, for example, where additional information is received and an outcome is considered further, or where a request for review has been received. Case re-openings are not </w:t>
      </w:r>
      <w:proofErr w:type="gramStart"/>
      <w:r w:rsidRPr="002679AD">
        <w:t>taken into account</w:t>
      </w:r>
      <w:proofErr w:type="gramEnd"/>
      <w:r w:rsidRPr="002679AD">
        <w:t xml:space="preserve"> for the purposes of calculating the KPI. The first closure date is taken to be the date finalised.</w:t>
      </w:r>
    </w:p>
    <w:p w14:paraId="5D85EA89" w14:textId="43B7E947" w:rsidR="00F575CC" w:rsidRDefault="00F8187E" w:rsidP="00F8187E">
      <w:pPr>
        <w:pStyle w:val="Heading4"/>
      </w:pPr>
      <w:r>
        <w:t>D</w:t>
      </w:r>
      <w:r w:rsidR="001537B5" w:rsidRPr="002679AD">
        <w:t xml:space="preserve">ata </w:t>
      </w:r>
      <w:r w:rsidR="001537B5" w:rsidRPr="00057064">
        <w:t>sources</w:t>
      </w:r>
    </w:p>
    <w:p w14:paraId="5DB03DC5" w14:textId="02D5614E" w:rsidR="008F56BB" w:rsidRPr="00057064" w:rsidRDefault="001537B5" w:rsidP="00057064">
      <w:pPr>
        <w:spacing w:before="120" w:after="120"/>
      </w:pPr>
      <w:r w:rsidRPr="002679AD">
        <w:rPr>
          <w:rFonts w:eastAsia="Work Sans" w:cs="Work Sans"/>
          <w:color w:val="2F3A48"/>
        </w:rPr>
        <w:t xml:space="preserve">The </w:t>
      </w:r>
      <w:r w:rsidRPr="006E62D9">
        <w:rPr>
          <w:rFonts w:eastAsia="Work Sans" w:cs="Work Sans"/>
          <w:color w:val="2F3A48"/>
        </w:rPr>
        <w:t>Commission</w:t>
      </w:r>
      <w:r w:rsidRPr="002679AD">
        <w:rPr>
          <w:rFonts w:eastAsia="Work Sans" w:cs="Work Sans"/>
          <w:color w:val="2F3A48"/>
        </w:rPr>
        <w:t xml:space="preserve"> manages all referrals received and assessed through its case management system. Referral data is extracted from the case management system to calculate results for KPI 1.1.</w:t>
      </w:r>
      <w:r w:rsidR="008F56BB" w:rsidRPr="00057064">
        <w:br w:type="page"/>
      </w:r>
    </w:p>
    <w:p w14:paraId="26DD84AB" w14:textId="77777777" w:rsidR="009D2AB6" w:rsidRPr="002679AD" w:rsidRDefault="009D2AB6" w:rsidP="00057064">
      <w:pPr>
        <w:rPr>
          <w:rFonts w:cs="Work Sans"/>
          <w:kern w:val="2"/>
          <w:sz w:val="22"/>
          <w:szCs w:val="22"/>
          <w14:ligatures w14:val="standardContextual"/>
        </w:rPr>
      </w:pPr>
      <w:r w:rsidRPr="00057064">
        <w:rPr>
          <w:rFonts w:ascii="Work Sans SemiBold" w:hAnsi="Work Sans SemiBold"/>
          <w:bCs/>
          <w:color w:val="1B598C"/>
        </w:rPr>
        <w:lastRenderedPageBreak/>
        <w:t>KPI 1.2</w:t>
      </w:r>
      <w:r w:rsidRPr="006E62D9">
        <w:rPr>
          <w:b/>
          <w:color w:val="1B598C"/>
        </w:rPr>
        <w:t xml:space="preserve"> </w:t>
      </w:r>
      <w:r w:rsidRPr="006E62D9">
        <w:t>Percentage of investigations finalised within 2 years</w:t>
      </w:r>
    </w:p>
    <w:tbl>
      <w:tblPr>
        <w:tblStyle w:val="TableGrid2"/>
        <w:tblW w:w="0" w:type="auto"/>
        <w:tblLook w:val="0480" w:firstRow="0" w:lastRow="0" w:firstColumn="1" w:lastColumn="0" w:noHBand="0" w:noVBand="1"/>
      </w:tblPr>
      <w:tblGrid>
        <w:gridCol w:w="2445"/>
        <w:gridCol w:w="6581"/>
      </w:tblGrid>
      <w:tr w:rsidR="009D2AB6" w:rsidRPr="003E22F6" w14:paraId="389FD93E" w14:textId="77777777" w:rsidTr="00A94D93">
        <w:trPr>
          <w:trHeight w:val="60"/>
        </w:trPr>
        <w:tc>
          <w:tcPr>
            <w:tcW w:w="2445" w:type="dxa"/>
            <w:tcBorders>
              <w:top w:val="single" w:sz="8" w:space="0" w:color="2F3A48"/>
              <w:left w:val="nil"/>
              <w:bottom w:val="single" w:sz="8" w:space="0" w:color="2F3A48"/>
              <w:right w:val="nil"/>
            </w:tcBorders>
            <w:tcMar>
              <w:left w:w="108" w:type="dxa"/>
              <w:right w:w="108" w:type="dxa"/>
            </w:tcMar>
          </w:tcPr>
          <w:p w14:paraId="393468D1" w14:textId="77777777" w:rsidR="009D2AB6" w:rsidRPr="00057064" w:rsidRDefault="009D2AB6" w:rsidP="00057064">
            <w:pPr>
              <w:rPr>
                <w:rFonts w:ascii="Work Sans Medium" w:hAnsi="Work Sans Medium"/>
                <w:lang w:val="en-AU"/>
              </w:rPr>
            </w:pPr>
            <w:bookmarkStart w:id="74" w:name="RowTitle_02"/>
            <w:bookmarkEnd w:id="74"/>
            <w:r w:rsidRPr="00057064">
              <w:rPr>
                <w:rFonts w:ascii="Work Sans Medium" w:hAnsi="Work Sans Medium"/>
                <w:lang w:val="en-AU"/>
              </w:rPr>
              <w:t>Type of measure</w:t>
            </w:r>
          </w:p>
        </w:tc>
        <w:tc>
          <w:tcPr>
            <w:tcW w:w="6581" w:type="dxa"/>
            <w:tcBorders>
              <w:top w:val="single" w:sz="8" w:space="0" w:color="2F3A48"/>
              <w:left w:val="nil"/>
              <w:bottom w:val="single" w:sz="8" w:space="0" w:color="2F3A48"/>
              <w:right w:val="nil"/>
            </w:tcBorders>
            <w:tcMar>
              <w:left w:w="108" w:type="dxa"/>
              <w:right w:w="108" w:type="dxa"/>
            </w:tcMar>
          </w:tcPr>
          <w:p w14:paraId="2AA5E06F" w14:textId="4ADDED3E" w:rsidR="009D2AB6" w:rsidRPr="002679AD" w:rsidRDefault="009D2AB6" w:rsidP="00057064">
            <w:pPr>
              <w:rPr>
                <w:rFonts w:eastAsia="Work Sans" w:cs="Work Sans"/>
                <w:lang w:val="en-AU"/>
              </w:rPr>
            </w:pPr>
            <w:r w:rsidRPr="002679AD">
              <w:rPr>
                <w:rFonts w:eastAsia="Work Sans" w:cs="Work Sans"/>
                <w:lang w:val="en-AU"/>
              </w:rPr>
              <w:t>Effectiveness</w:t>
            </w:r>
          </w:p>
        </w:tc>
      </w:tr>
      <w:tr w:rsidR="009D2AB6" w:rsidRPr="003E22F6" w14:paraId="342B2399" w14:textId="77777777" w:rsidTr="00A94D93">
        <w:trPr>
          <w:trHeight w:val="60"/>
        </w:trPr>
        <w:tc>
          <w:tcPr>
            <w:tcW w:w="2445" w:type="dxa"/>
            <w:tcBorders>
              <w:top w:val="single" w:sz="8" w:space="0" w:color="2F3A48"/>
              <w:left w:val="nil"/>
              <w:bottom w:val="single" w:sz="8" w:space="0" w:color="2F3A48"/>
              <w:right w:val="nil"/>
            </w:tcBorders>
            <w:shd w:val="clear" w:color="auto" w:fill="F4F7F9"/>
            <w:tcMar>
              <w:left w:w="108" w:type="dxa"/>
              <w:right w:w="108" w:type="dxa"/>
            </w:tcMar>
          </w:tcPr>
          <w:p w14:paraId="675DEDF9" w14:textId="77777777" w:rsidR="009D2AB6" w:rsidRPr="00057064" w:rsidRDefault="009D2AB6" w:rsidP="00057064">
            <w:pPr>
              <w:rPr>
                <w:rFonts w:ascii="Work Sans Medium" w:hAnsi="Work Sans Medium"/>
                <w:lang w:val="en-AU"/>
              </w:rPr>
            </w:pPr>
            <w:r w:rsidRPr="00057064">
              <w:rPr>
                <w:rFonts w:ascii="Work Sans Medium" w:hAnsi="Work Sans Medium"/>
                <w:lang w:val="en-AU"/>
              </w:rPr>
              <w:t>Target</w:t>
            </w:r>
          </w:p>
        </w:tc>
        <w:tc>
          <w:tcPr>
            <w:tcW w:w="6581" w:type="dxa"/>
            <w:tcBorders>
              <w:top w:val="single" w:sz="8" w:space="0" w:color="2F3A48"/>
              <w:left w:val="nil"/>
              <w:bottom w:val="single" w:sz="8" w:space="0" w:color="2F3A48"/>
              <w:right w:val="nil"/>
            </w:tcBorders>
            <w:shd w:val="clear" w:color="auto" w:fill="F4F7F9"/>
            <w:tcMar>
              <w:left w:w="108" w:type="dxa"/>
              <w:right w:w="108" w:type="dxa"/>
            </w:tcMar>
          </w:tcPr>
          <w:p w14:paraId="42113E6F" w14:textId="77777777" w:rsidR="00F575CC" w:rsidRDefault="009D2AB6" w:rsidP="00057064">
            <w:pPr>
              <w:rPr>
                <w:rFonts w:eastAsia="Work Sans" w:cs="Work Sans"/>
                <w:lang w:val="en-AU"/>
              </w:rPr>
            </w:pPr>
            <w:r w:rsidRPr="002679AD">
              <w:rPr>
                <w:rFonts w:eastAsia="Work Sans" w:cs="Work Sans"/>
                <w:lang w:val="en-AU"/>
              </w:rPr>
              <w:t>60%</w:t>
            </w:r>
          </w:p>
          <w:p w14:paraId="434B2083" w14:textId="62108900" w:rsidR="009D2AB6" w:rsidRPr="002679AD" w:rsidRDefault="009D2AB6" w:rsidP="00057064">
            <w:pPr>
              <w:rPr>
                <w:rFonts w:eastAsia="Work Sans" w:cs="Work Sans"/>
                <w:lang w:val="en-AU"/>
              </w:rPr>
            </w:pPr>
            <w:r w:rsidRPr="002679AD">
              <w:rPr>
                <w:rFonts w:eastAsia="Work Sans" w:cs="Work Sans"/>
                <w:lang w:val="en-AU"/>
              </w:rPr>
              <w:t xml:space="preserve">Target is per </w:t>
            </w:r>
            <w:r w:rsidR="00F8187E">
              <w:rPr>
                <w:rFonts w:eastAsia="Work Sans" w:cs="Work Sans"/>
                <w:color w:val="2F3A48"/>
                <w:lang w:val="en-AU"/>
              </w:rPr>
              <w:t xml:space="preserve">financial </w:t>
            </w:r>
            <w:r w:rsidRPr="002679AD">
              <w:rPr>
                <w:rFonts w:eastAsia="Work Sans" w:cs="Work Sans"/>
                <w:lang w:val="en-AU"/>
              </w:rPr>
              <w:t>year across the life of the plan</w:t>
            </w:r>
          </w:p>
        </w:tc>
      </w:tr>
      <w:tr w:rsidR="009D2AB6" w:rsidRPr="003E22F6" w14:paraId="339ADB00" w14:textId="77777777" w:rsidTr="00A94D93">
        <w:trPr>
          <w:trHeight w:val="60"/>
        </w:trPr>
        <w:tc>
          <w:tcPr>
            <w:tcW w:w="2445" w:type="dxa"/>
            <w:tcBorders>
              <w:top w:val="single" w:sz="8" w:space="0" w:color="2F3A48"/>
              <w:left w:val="nil"/>
              <w:bottom w:val="single" w:sz="8" w:space="0" w:color="2F3A48"/>
              <w:right w:val="nil"/>
            </w:tcBorders>
            <w:tcMar>
              <w:left w:w="108" w:type="dxa"/>
              <w:right w:w="108" w:type="dxa"/>
            </w:tcMar>
          </w:tcPr>
          <w:p w14:paraId="76016E89" w14:textId="77777777" w:rsidR="009D2AB6" w:rsidRPr="00057064" w:rsidRDefault="009D2AB6" w:rsidP="00057064">
            <w:pPr>
              <w:rPr>
                <w:rFonts w:ascii="Work Sans Medium" w:hAnsi="Work Sans Medium" w:cs="Arial"/>
                <w:lang w:val="en-AU"/>
              </w:rPr>
            </w:pPr>
            <w:r w:rsidRPr="00057064">
              <w:rPr>
                <w:rFonts w:ascii="Work Sans Medium" w:hAnsi="Work Sans Medium"/>
                <w:lang w:val="en-AU"/>
              </w:rPr>
              <w:t>Changes from the previous year</w:t>
            </w:r>
          </w:p>
        </w:tc>
        <w:tc>
          <w:tcPr>
            <w:tcW w:w="6581" w:type="dxa"/>
            <w:tcBorders>
              <w:top w:val="single" w:sz="8" w:space="0" w:color="2F3A48"/>
              <w:left w:val="nil"/>
              <w:bottom w:val="single" w:sz="8" w:space="0" w:color="2F3A48"/>
              <w:right w:val="nil"/>
            </w:tcBorders>
            <w:tcMar>
              <w:left w:w="108" w:type="dxa"/>
              <w:right w:w="108" w:type="dxa"/>
            </w:tcMar>
          </w:tcPr>
          <w:p w14:paraId="2FFA6253" w14:textId="77777777" w:rsidR="009D2AB6" w:rsidRPr="002679AD" w:rsidRDefault="009D2AB6" w:rsidP="00057064">
            <w:pPr>
              <w:rPr>
                <w:rFonts w:ascii="Aptos" w:hAnsi="Aptos" w:cs="Arial"/>
                <w:lang w:val="en-AU"/>
              </w:rPr>
            </w:pPr>
            <w:r w:rsidRPr="002679AD">
              <w:rPr>
                <w:rFonts w:eastAsia="Work Sans" w:cs="Work Sans"/>
                <w:lang w:val="en-AU"/>
              </w:rPr>
              <w:t>Nil.</w:t>
            </w:r>
          </w:p>
        </w:tc>
      </w:tr>
    </w:tbl>
    <w:p w14:paraId="51DF6276" w14:textId="1C7ACD64" w:rsidR="00F8187E" w:rsidRDefault="00F8187E" w:rsidP="00F8187E">
      <w:pPr>
        <w:pStyle w:val="Heading3"/>
        <w:spacing w:before="360" w:after="240"/>
      </w:pPr>
      <w:r>
        <w:t>KPI 1.2</w:t>
      </w:r>
    </w:p>
    <w:p w14:paraId="56D06877" w14:textId="7F393CD3" w:rsidR="009D2AB6" w:rsidRPr="002679AD" w:rsidRDefault="00F8187E" w:rsidP="00F8187E">
      <w:pPr>
        <w:pStyle w:val="Heading4"/>
      </w:pPr>
      <w:r>
        <w:t>T</w:t>
      </w:r>
      <w:r w:rsidR="009D2AB6" w:rsidRPr="00057064">
        <w:t>arget</w:t>
      </w:r>
      <w:r w:rsidR="009D2AB6" w:rsidRPr="006E62D9">
        <w:t xml:space="preserve"> rationale</w:t>
      </w:r>
    </w:p>
    <w:p w14:paraId="10C2BA13" w14:textId="77777777" w:rsidR="00F575CC" w:rsidRDefault="009D2AB6" w:rsidP="00057064">
      <w:r w:rsidRPr="006E62D9">
        <w:t xml:space="preserve">The target for investigations finalised </w:t>
      </w:r>
      <w:r w:rsidR="00CB4ABA" w:rsidRPr="006E62D9">
        <w:t>within</w:t>
      </w:r>
      <w:r w:rsidRPr="006E62D9">
        <w:t xml:space="preserve"> 2 years remains appropriate and commensurate with resources.</w:t>
      </w:r>
    </w:p>
    <w:p w14:paraId="20E6873B" w14:textId="77B5B3E1" w:rsidR="009D2AB6" w:rsidRPr="006E62D9" w:rsidRDefault="009D2AB6" w:rsidP="00057064">
      <w:r w:rsidRPr="006E62D9">
        <w:t>The KPI target timeframe of 2 years assumes that there will be investigations of varying durations on foot in any reporting period. The duration of an investigation can be influenced by many factors including:</w:t>
      </w:r>
    </w:p>
    <w:p w14:paraId="708719F2" w14:textId="77777777" w:rsidR="00F575CC" w:rsidRPr="00057064" w:rsidRDefault="009D2AB6" w:rsidP="00057064">
      <w:pPr>
        <w:pStyle w:val="Bullet1"/>
      </w:pPr>
      <w:r w:rsidRPr="00057064">
        <w:t>Complexity: Corruption usually happens in secret with intricate layers of deception. It takes time and care to uncover information and context around allegations</w:t>
      </w:r>
    </w:p>
    <w:p w14:paraId="67E43261" w14:textId="01F6B4EA" w:rsidR="009D2AB6" w:rsidRPr="00057064" w:rsidRDefault="009D2AB6" w:rsidP="00057064">
      <w:pPr>
        <w:pStyle w:val="Bullet1"/>
      </w:pPr>
      <w:r w:rsidRPr="00057064">
        <w:t>Legal processes: The Commission has extensive investigatory powers, but their exercise is dependent on strict compliance with legal procedures and processes. Many of them appropriately require the Commission to obtain warrants from courts, and this process takes time.</w:t>
      </w:r>
    </w:p>
    <w:p w14:paraId="386D9984" w14:textId="77777777" w:rsidR="009D2AB6" w:rsidRPr="00057064" w:rsidRDefault="009D2AB6" w:rsidP="00057064">
      <w:pPr>
        <w:pStyle w:val="Bullet1"/>
      </w:pPr>
      <w:r w:rsidRPr="00057064">
        <w:lastRenderedPageBreak/>
        <w:t>Evidence analysis: Investigations often collect very large volumes of documents and information. It takes time and effort to review and analyse this information and extract what is relevant and important. It also takes time to arrange and conduct hearings, which includes accommodating the needs of witnesses.</w:t>
      </w:r>
    </w:p>
    <w:p w14:paraId="5FA73478" w14:textId="77777777" w:rsidR="009D2AB6" w:rsidRPr="00057064" w:rsidRDefault="009D2AB6" w:rsidP="00057064">
      <w:pPr>
        <w:pStyle w:val="Bullet1"/>
      </w:pPr>
      <w:r w:rsidRPr="00057064">
        <w:t xml:space="preserve">Thorough and careful investigation: The Commission is committed to ensuring it makes correct and fair decisions. Rushing an </w:t>
      </w:r>
      <w:proofErr w:type="gramStart"/>
      <w:r w:rsidRPr="00057064">
        <w:t>investigation risks</w:t>
      </w:r>
      <w:proofErr w:type="gramEnd"/>
      <w:r w:rsidRPr="00057064">
        <w:t xml:space="preserve"> overlooking relevant information, procedural errors and unfairness</w:t>
      </w:r>
    </w:p>
    <w:p w14:paraId="2C94BF6E" w14:textId="77777777" w:rsidR="009D2AB6" w:rsidRPr="00057064" w:rsidRDefault="009D2AB6" w:rsidP="00057064">
      <w:pPr>
        <w:pStyle w:val="Bullet1"/>
      </w:pPr>
      <w:r w:rsidRPr="00057064">
        <w:t>Procedural fairness process: As part of finalising any investigation where adverse findings are contemplated, the Commission must ensure affected individuals or agencies are given a reasonable opportunity to respond.</w:t>
      </w:r>
    </w:p>
    <w:p w14:paraId="61809EA6" w14:textId="77777777" w:rsidR="009D2AB6" w:rsidRPr="00057064" w:rsidRDefault="009D2AB6" w:rsidP="00057064">
      <w:pPr>
        <w:pStyle w:val="Bullet1"/>
      </w:pPr>
      <w:r w:rsidRPr="00057064">
        <w:t>Court proceedings: Sometimes, if court proceedings are commenced against a person of interest while an investigation is on foot, it may be inappropriate to finalise the investigation, or to publish a report, until those proceedings are concluded, as publishing a report may jeopardise the fairness of the court proceedings.</w:t>
      </w:r>
    </w:p>
    <w:p w14:paraId="744A70AB" w14:textId="77777777" w:rsidR="00F575CC" w:rsidRDefault="009D2AB6" w:rsidP="00057064">
      <w:r w:rsidRPr="006E62D9">
        <w:t>The Commission exceeded the target in previous reporting periods because it was either not possible for the KPI to be missed or highly skewed toward meeting the KPI as not enough time had elapsed from the commencement of the Commission for it to be likely that the Commission would miss the target. The 2025</w:t>
      </w:r>
      <w:r w:rsidR="00F43EB7">
        <w:t>–</w:t>
      </w:r>
      <w:r w:rsidRPr="006E62D9">
        <w:t>26 financial year was the first reporting period where it was possible for an investigation to have a duration longer than 2 years.</w:t>
      </w:r>
    </w:p>
    <w:p w14:paraId="7849A2FC" w14:textId="4EB255D1" w:rsidR="009D2AB6" w:rsidRPr="006E62D9" w:rsidRDefault="009D2AB6" w:rsidP="00057064">
      <w:r w:rsidRPr="006E62D9">
        <w:rPr>
          <w:color w:val="2F3A48"/>
          <w:kern w:val="2"/>
          <w14:ligatures w14:val="standardContextual"/>
        </w:rPr>
        <w:t xml:space="preserve">Over the </w:t>
      </w:r>
      <w:r w:rsidR="00DF0C5D">
        <w:rPr>
          <w:color w:val="2F3A48"/>
          <w:kern w:val="2"/>
          <w14:ligatures w14:val="standardContextual"/>
        </w:rPr>
        <w:t>4</w:t>
      </w:r>
      <w:r w:rsidR="00DF0C5D" w:rsidRPr="006E62D9">
        <w:rPr>
          <w:color w:val="2F3A48"/>
          <w:kern w:val="2"/>
          <w14:ligatures w14:val="standardContextual"/>
        </w:rPr>
        <w:t xml:space="preserve"> </w:t>
      </w:r>
      <w:r w:rsidRPr="006E62D9">
        <w:rPr>
          <w:color w:val="2F3A48"/>
          <w:kern w:val="2"/>
          <w14:ligatures w14:val="standardContextual"/>
        </w:rPr>
        <w:t xml:space="preserve">years of this plan, a 60% target is </w:t>
      </w:r>
      <w:r w:rsidRPr="335006B8">
        <w:t xml:space="preserve">an appropriate target because it </w:t>
      </w:r>
      <w:r w:rsidR="65DB88B7" w:rsidRPr="335006B8">
        <w:t xml:space="preserve">reflects that while many investigations can be resolved within a </w:t>
      </w:r>
      <w:r w:rsidR="00057064">
        <w:t>2-year</w:t>
      </w:r>
      <w:r w:rsidR="65DB88B7" w:rsidRPr="335006B8">
        <w:t xml:space="preserve"> timeframe, more complex investigations are likely to take more time. The Commission</w:t>
      </w:r>
      <w:r w:rsidR="1DAC3E7C" w:rsidRPr="335006B8">
        <w:t xml:space="preserve"> will consider whether this target needs adjustment as more of </w:t>
      </w:r>
      <w:r w:rsidR="7EA4C1A9" w:rsidRPr="335006B8">
        <w:t xml:space="preserve">the </w:t>
      </w:r>
      <w:r w:rsidR="7CCC03F8" w:rsidRPr="335006B8">
        <w:t>investigations</w:t>
      </w:r>
      <w:r w:rsidR="1DAC3E7C" w:rsidRPr="335006B8">
        <w:t xml:space="preserve"> reach resolution over the coming 4 years.</w:t>
      </w:r>
    </w:p>
    <w:p w14:paraId="3BFEA8D7" w14:textId="3CFB04C4" w:rsidR="009D2AB6" w:rsidRPr="006E62D9" w:rsidRDefault="009D2AB6" w:rsidP="00F8187E">
      <w:pPr>
        <w:pStyle w:val="Heading4"/>
        <w:rPr>
          <w:rFonts w:ascii="Aptos" w:eastAsia="Aptos" w:hAnsi="Aptos" w:cs="Arial"/>
          <w:color w:val="auto"/>
        </w:rPr>
      </w:pPr>
      <w:r w:rsidRPr="002679AD">
        <w:lastRenderedPageBreak/>
        <w:t xml:space="preserve">How </w:t>
      </w:r>
      <w:r w:rsidR="00F8187E">
        <w:t>this measure</w:t>
      </w:r>
      <w:r w:rsidRPr="002679AD">
        <w:t xml:space="preserve"> achieves the Commission’s purpose (</w:t>
      </w:r>
      <w:r w:rsidR="005168E2">
        <w:t>s</w:t>
      </w:r>
      <w:r w:rsidRPr="002679AD">
        <w:t>trengths and limitations)</w:t>
      </w:r>
    </w:p>
    <w:p w14:paraId="33A00D5C" w14:textId="77777777" w:rsidR="009D2AB6" w:rsidRPr="00057064" w:rsidRDefault="0FD26F4C" w:rsidP="00057064">
      <w:r w:rsidRPr="006E62D9">
        <w:rPr>
          <w:color w:val="2F3A48"/>
          <w:kern w:val="2"/>
          <w14:ligatures w14:val="standardContextual"/>
        </w:rPr>
        <w:t xml:space="preserve">This measure supports </w:t>
      </w:r>
      <w:r w:rsidRPr="00057064">
        <w:rPr>
          <w:i/>
          <w:iCs/>
          <w:color w:val="2F3A48"/>
          <w:kern w:val="2"/>
          <w14:ligatures w14:val="standardContextual"/>
        </w:rPr>
        <w:t>Key Activity 3: c</w:t>
      </w:r>
      <w:r w:rsidRPr="00057064">
        <w:rPr>
          <w:i/>
          <w:iCs/>
        </w:rPr>
        <w:t>onducting investigations into corruption issues that could involve serious or systemic corrupt conduct</w:t>
      </w:r>
      <w:r w:rsidRPr="5715D848">
        <w:t>.</w:t>
      </w:r>
    </w:p>
    <w:p w14:paraId="72E0E533" w14:textId="77777777" w:rsidR="00F575CC" w:rsidRDefault="009D2AB6" w:rsidP="00057064">
      <w:r w:rsidRPr="006E62D9">
        <w:t xml:space="preserve">In line with the Commission’s purpose, this measure aims to ensure the Commission is progressing investigations in an efficient manner and supporting the Commission’s purpose to investigate serious or systemic corruption in the Australian Government. It is important for investigations to progress in a timely </w:t>
      </w:r>
      <w:r w:rsidR="0000356A" w:rsidRPr="006E62D9">
        <w:t>manner;</w:t>
      </w:r>
      <w:r w:rsidRPr="006E62D9">
        <w:t xml:space="preserve"> </w:t>
      </w:r>
      <w:r w:rsidR="00631E49" w:rsidRPr="006E62D9">
        <w:t>however,</w:t>
      </w:r>
      <w:r w:rsidRPr="006E62D9">
        <w:t xml:space="preserve"> this cannot occur at the expense of quality, legality or proper process. It is not realistic that every investigation will be finalised within 2 years.</w:t>
      </w:r>
    </w:p>
    <w:p w14:paraId="2B8F044A" w14:textId="64A0FE23" w:rsidR="00F575CC" w:rsidRDefault="009D2AB6" w:rsidP="00057064">
      <w:r w:rsidRPr="006E62D9">
        <w:t>This KPI calculation is limited insofar as it does not account for or incentivise the finalisation of investigations once the 2-year target timeframe has passed. However, this is addressed in the broader context of the Commission’s performance reporting. One of the requirements under s</w:t>
      </w:r>
      <w:r w:rsidR="008B7029">
        <w:t> </w:t>
      </w:r>
      <w:r w:rsidRPr="006E62D9">
        <w:t>271 of the NACC Act is to report on the status of investigations at the end of each reporting period and to provide this information by commencement year.</w:t>
      </w:r>
    </w:p>
    <w:p w14:paraId="13029049" w14:textId="0F426021" w:rsidR="00F575CC" w:rsidRDefault="009D2AB6" w:rsidP="00057064">
      <w:r w:rsidRPr="006E62D9">
        <w:t>This KPI provides comparable year</w:t>
      </w:r>
      <w:r w:rsidR="008315B8">
        <w:t>-</w:t>
      </w:r>
      <w:r w:rsidRPr="006E62D9">
        <w:t>on</w:t>
      </w:r>
      <w:r w:rsidR="008315B8">
        <w:t>-</w:t>
      </w:r>
      <w:r w:rsidRPr="006E62D9">
        <w:t xml:space="preserve">year results on the timeliness of investigations finalised by the Commission during each reporting </w:t>
      </w:r>
      <w:proofErr w:type="gramStart"/>
      <w:r w:rsidRPr="006E62D9">
        <w:t>period</w:t>
      </w:r>
      <w:r w:rsidR="008315B8">
        <w:t>,</w:t>
      </w:r>
      <w:r w:rsidRPr="006E62D9">
        <w:t xml:space="preserve"> and</w:t>
      </w:r>
      <w:proofErr w:type="gramEnd"/>
      <w:r w:rsidRPr="006E62D9">
        <w:t xml:space="preserve"> allows for a comparison of factors that affect the Commission’s performance over time.</w:t>
      </w:r>
    </w:p>
    <w:p w14:paraId="3E2C8547" w14:textId="48A0CAEE" w:rsidR="009D2AB6" w:rsidRPr="006E62D9" w:rsidRDefault="00F8187E" w:rsidP="00F8187E">
      <w:pPr>
        <w:pStyle w:val="Heading4"/>
      </w:pPr>
      <w:r>
        <w:t>M</w:t>
      </w:r>
      <w:r w:rsidR="009D2AB6" w:rsidRPr="00057064">
        <w:t>ethodology</w:t>
      </w:r>
    </w:p>
    <w:p w14:paraId="4D01C9D6" w14:textId="6670BE66" w:rsidR="009D2AB6" w:rsidRPr="006E62D9" w:rsidRDefault="009D2AB6" w:rsidP="00057064">
      <w:r w:rsidRPr="006E62D9">
        <w:t>Results are calculated by taking the number of corruption investigations finalised during the reporting period, with a duration of less than 2 years as a percentage of the total number of corruption investigations finalised during the reporting period.</w:t>
      </w:r>
    </w:p>
    <w:p w14:paraId="58A8F6CD" w14:textId="02C3C462" w:rsidR="009D2AB6" w:rsidRPr="00AF575B" w:rsidRDefault="009D2AB6" w:rsidP="00F8187E">
      <w:pPr>
        <w:pStyle w:val="Heading4"/>
      </w:pPr>
      <w:r w:rsidRPr="00AF575B">
        <w:lastRenderedPageBreak/>
        <w:t>Duration of a corruption investigation</w:t>
      </w:r>
    </w:p>
    <w:p w14:paraId="3C896AA9" w14:textId="77777777" w:rsidR="00F575CC" w:rsidRDefault="009D2AB6" w:rsidP="009D2AB6">
      <w:pPr>
        <w:spacing w:before="120" w:after="120"/>
        <w:rPr>
          <w:rFonts w:eastAsia="Work Sans" w:cs="Work Sans"/>
          <w:color w:val="2F3A48"/>
          <w:kern w:val="2"/>
          <w14:ligatures w14:val="standardContextual"/>
        </w:rPr>
      </w:pPr>
      <w:r w:rsidRPr="002679AD">
        <w:rPr>
          <w:rFonts w:eastAsia="Work Sans" w:cs="Work Sans"/>
          <w:color w:val="2F3A48"/>
          <w:kern w:val="2"/>
          <w14:ligatures w14:val="standardContextual"/>
        </w:rPr>
        <w:t xml:space="preserve">The duration of a corruption investigation is a count of the calendar days </w:t>
      </w:r>
      <w:r w:rsidRPr="006E62D9">
        <w:rPr>
          <w:rFonts w:eastAsia="Work Sans" w:cs="Work Sans"/>
          <w:color w:val="2F3A48"/>
          <w:kern w:val="2"/>
          <w14:ligatures w14:val="standardContextual"/>
        </w:rPr>
        <w:t>elapsed</w:t>
      </w:r>
      <w:r w:rsidRPr="002679AD">
        <w:rPr>
          <w:rFonts w:eastAsia="Work Sans" w:cs="Work Sans"/>
          <w:color w:val="2F3A48"/>
          <w:kern w:val="2"/>
          <w14:ligatures w14:val="standardContextual"/>
        </w:rPr>
        <w:t xml:space="preserve"> between the start date of an investigation and the date finalised.</w:t>
      </w:r>
    </w:p>
    <w:p w14:paraId="5516C7C9" w14:textId="7ADAF22C" w:rsidR="009D2AB6" w:rsidRPr="002679AD" w:rsidRDefault="009D2AB6" w:rsidP="009D2AB6">
      <w:pPr>
        <w:spacing w:before="120" w:after="120"/>
        <w:rPr>
          <w:rFonts w:eastAsia="Work Sans" w:cs="Work Sans"/>
          <w:color w:val="2F3A48"/>
          <w:kern w:val="2"/>
          <w14:ligatures w14:val="standardContextual"/>
        </w:rPr>
      </w:pPr>
      <w:r w:rsidRPr="002679AD">
        <w:rPr>
          <w:rFonts w:eastAsia="Work Sans" w:cs="Work Sans"/>
          <w:color w:val="2F3A48"/>
          <w:kern w:val="2"/>
          <w14:ligatures w14:val="standardContextual"/>
        </w:rPr>
        <w:t xml:space="preserve">The </w:t>
      </w:r>
      <w:r w:rsidRPr="006E62D9">
        <w:rPr>
          <w:rFonts w:eastAsia="Work Sans" w:cs="Work Sans"/>
          <w:color w:val="2F3A48"/>
          <w:kern w:val="2"/>
          <w14:ligatures w14:val="standardContextual"/>
        </w:rPr>
        <w:t>start</w:t>
      </w:r>
      <w:r w:rsidRPr="002679AD">
        <w:rPr>
          <w:rFonts w:eastAsia="Work Sans" w:cs="Work Sans"/>
          <w:color w:val="2F3A48"/>
          <w:kern w:val="2"/>
          <w14:ligatures w14:val="standardContextual"/>
        </w:rPr>
        <w:t xml:space="preserve"> and end points of a corruption investigation are drawn from decision dates reflecting the formal performance of the Commissioner’s functions.</w:t>
      </w:r>
    </w:p>
    <w:p w14:paraId="65FB5757" w14:textId="77777777" w:rsidR="009D2AB6" w:rsidRPr="002679AD" w:rsidRDefault="009D2AB6" w:rsidP="009D2AB6">
      <w:pPr>
        <w:spacing w:before="120" w:after="120"/>
        <w:rPr>
          <w:rFonts w:eastAsia="Work Sans" w:cs="Work Sans"/>
          <w:color w:val="2F3A48"/>
          <w:kern w:val="2"/>
          <w14:ligatures w14:val="standardContextual"/>
        </w:rPr>
      </w:pPr>
      <w:r w:rsidRPr="002679AD">
        <w:rPr>
          <w:rFonts w:eastAsia="Work Sans" w:cs="Work Sans"/>
          <w:color w:val="2F3A48"/>
          <w:kern w:val="2"/>
          <w14:ligatures w14:val="standardContextual"/>
        </w:rPr>
        <w:t>A corruption investigation begins (</w:t>
      </w:r>
      <w:r w:rsidRPr="00612B31">
        <w:rPr>
          <w:rFonts w:ascii="Work Sans SemiBold" w:eastAsia="Work Sans" w:hAnsi="Work Sans SemiBold" w:cs="Work Sans"/>
          <w:color w:val="2F3A48"/>
          <w:kern w:val="2"/>
          <w14:ligatures w14:val="standardContextual"/>
        </w:rPr>
        <w:t>start date</w:t>
      </w:r>
      <w:r w:rsidRPr="002679AD">
        <w:rPr>
          <w:rFonts w:eastAsia="Work Sans" w:cs="Work Sans"/>
          <w:color w:val="2F3A48"/>
          <w:kern w:val="2"/>
          <w14:ligatures w14:val="standardContextual"/>
        </w:rPr>
        <w:t>) when the Commissioner or delegate approves the investigation. A corruption investigation is finalised (</w:t>
      </w:r>
      <w:r w:rsidRPr="00612B31">
        <w:rPr>
          <w:rFonts w:ascii="Work Sans SemiBold" w:eastAsia="Work Sans" w:hAnsi="Work Sans SemiBold" w:cs="Work Sans"/>
          <w:color w:val="2F3A48"/>
          <w:kern w:val="2"/>
          <w14:ligatures w14:val="standardContextual"/>
        </w:rPr>
        <w:t>date finalised</w:t>
      </w:r>
      <w:r w:rsidRPr="002679AD">
        <w:rPr>
          <w:rFonts w:eastAsia="Work Sans" w:cs="Work Sans"/>
          <w:color w:val="2F3A48"/>
          <w:kern w:val="2"/>
          <w14:ligatures w14:val="standardContextual"/>
        </w:rPr>
        <w:t>) when either:</w:t>
      </w:r>
    </w:p>
    <w:p w14:paraId="76527EF7" w14:textId="3E74D11F" w:rsidR="009D2AB6" w:rsidRPr="00612B31" w:rsidRDefault="006972A1" w:rsidP="00612B31">
      <w:pPr>
        <w:pStyle w:val="Bullet1"/>
      </w:pPr>
      <w:r w:rsidRPr="00612B31">
        <w:t>a</w:t>
      </w:r>
      <w:r w:rsidR="009D2AB6" w:rsidRPr="00612B31">
        <w:t xml:space="preserve"> completion report approved by the Commissioner or delegate is provided to the Minister</w:t>
      </w:r>
    </w:p>
    <w:p w14:paraId="55DDCC2E" w14:textId="756700F4" w:rsidR="009D2AB6" w:rsidRPr="00612B31" w:rsidRDefault="006972A1" w:rsidP="00612B31">
      <w:pPr>
        <w:pStyle w:val="Bullet1"/>
      </w:pPr>
      <w:r w:rsidRPr="00612B31">
        <w:t xml:space="preserve">the </w:t>
      </w:r>
      <w:r w:rsidR="009D2AB6" w:rsidRPr="00612B31">
        <w:t>Commissioner or delegate approves that an investigation be discontinued, for example where it becomes clear that the issue is not serious or systemic.</w:t>
      </w:r>
    </w:p>
    <w:p w14:paraId="38EEE3B1" w14:textId="4035B8A1" w:rsidR="009D2AB6" w:rsidRPr="002679AD" w:rsidRDefault="00F8187E" w:rsidP="00F8187E">
      <w:pPr>
        <w:pStyle w:val="Heading4"/>
      </w:pPr>
      <w:r>
        <w:t>D</w:t>
      </w:r>
      <w:r w:rsidR="009D2AB6" w:rsidRPr="002679AD">
        <w:t xml:space="preserve">ata </w:t>
      </w:r>
      <w:r w:rsidR="009D2AB6" w:rsidRPr="00612B31">
        <w:t>sources</w:t>
      </w:r>
      <w:r w:rsidR="009D2AB6" w:rsidRPr="002679AD">
        <w:t xml:space="preserve"> and key terms</w:t>
      </w:r>
    </w:p>
    <w:p w14:paraId="3E79B53E" w14:textId="3FBB3EFE" w:rsidR="009D2AB6" w:rsidRPr="002679AD" w:rsidRDefault="009D2AB6" w:rsidP="00612B31">
      <w:pPr>
        <w:rPr>
          <w:rFonts w:eastAsia="Work Sans" w:cs="Times New Roman"/>
          <w:color w:val="2F3A48"/>
        </w:rPr>
      </w:pPr>
      <w:r w:rsidRPr="002679AD">
        <w:t>The Commission manages corruption investigations in its case management system and maintains a register of investigation milestones for KPI reporting purposes.</w:t>
      </w:r>
      <w:r w:rsidRPr="006E62D9">
        <w:rPr>
          <w:rFonts w:eastAsia="Work Sans" w:cs="Times New Roman"/>
          <w:bCs/>
          <w:color w:val="2F3A48"/>
        </w:rPr>
        <w:br w:type="page"/>
      </w:r>
    </w:p>
    <w:p w14:paraId="5E2AE117" w14:textId="77777777" w:rsidR="009D2AB6" w:rsidRPr="006E62D9" w:rsidRDefault="009D2AB6" w:rsidP="00F97455">
      <w:r w:rsidRPr="00F97455">
        <w:rPr>
          <w:rFonts w:ascii="Work Sans SemiBold" w:hAnsi="Work Sans SemiBold"/>
          <w:bCs/>
          <w:color w:val="1B598C"/>
        </w:rPr>
        <w:lastRenderedPageBreak/>
        <w:t>KPI 1.3</w:t>
      </w:r>
      <w:r w:rsidRPr="006E62D9">
        <w:rPr>
          <w:b/>
          <w:color w:val="1B598C"/>
        </w:rPr>
        <w:t xml:space="preserve"> </w:t>
      </w:r>
      <w:r w:rsidRPr="006E62D9">
        <w:t>Number of corruption prevention and education products and engagements</w:t>
      </w:r>
    </w:p>
    <w:tbl>
      <w:tblPr>
        <w:tblStyle w:val="TableGrid1"/>
        <w:tblW w:w="0" w:type="auto"/>
        <w:tblLook w:val="0480" w:firstRow="0" w:lastRow="0" w:firstColumn="1" w:lastColumn="0" w:noHBand="0" w:noVBand="1"/>
      </w:tblPr>
      <w:tblGrid>
        <w:gridCol w:w="2445"/>
        <w:gridCol w:w="6581"/>
      </w:tblGrid>
      <w:tr w:rsidR="009D2AB6" w:rsidRPr="003E22F6" w14:paraId="16113587" w14:textId="77777777" w:rsidTr="00A94D93">
        <w:trPr>
          <w:trHeight w:val="60"/>
        </w:trPr>
        <w:tc>
          <w:tcPr>
            <w:tcW w:w="2445" w:type="dxa"/>
            <w:tcBorders>
              <w:top w:val="single" w:sz="8" w:space="0" w:color="2F3A48"/>
              <w:left w:val="nil"/>
              <w:bottom w:val="single" w:sz="8" w:space="0" w:color="2F3A48"/>
              <w:right w:val="nil"/>
            </w:tcBorders>
            <w:tcMar>
              <w:left w:w="108" w:type="dxa"/>
              <w:right w:w="108" w:type="dxa"/>
            </w:tcMar>
          </w:tcPr>
          <w:p w14:paraId="5BF20697" w14:textId="77777777" w:rsidR="009D2AB6" w:rsidRPr="00F97455" w:rsidRDefault="009D2AB6" w:rsidP="00F97455">
            <w:pPr>
              <w:rPr>
                <w:rFonts w:ascii="Work Sans Medium" w:hAnsi="Work Sans Medium"/>
                <w:lang w:val="en-AU"/>
              </w:rPr>
            </w:pPr>
            <w:bookmarkStart w:id="75" w:name="RowTitle_03"/>
            <w:bookmarkEnd w:id="75"/>
            <w:r w:rsidRPr="00F97455">
              <w:rPr>
                <w:rFonts w:ascii="Work Sans Medium" w:hAnsi="Work Sans Medium"/>
                <w:lang w:val="en-AU"/>
              </w:rPr>
              <w:t>Type of measure</w:t>
            </w:r>
          </w:p>
        </w:tc>
        <w:tc>
          <w:tcPr>
            <w:tcW w:w="6581" w:type="dxa"/>
            <w:tcBorders>
              <w:top w:val="single" w:sz="8" w:space="0" w:color="2F3A48"/>
              <w:left w:val="nil"/>
              <w:bottom w:val="single" w:sz="8" w:space="0" w:color="2F3A48"/>
              <w:right w:val="nil"/>
            </w:tcBorders>
            <w:tcMar>
              <w:left w:w="108" w:type="dxa"/>
              <w:right w:w="108" w:type="dxa"/>
            </w:tcMar>
          </w:tcPr>
          <w:p w14:paraId="6EF3B26F" w14:textId="77777777" w:rsidR="009D2AB6" w:rsidRPr="002679AD" w:rsidRDefault="009D2AB6" w:rsidP="00F97455">
            <w:pPr>
              <w:rPr>
                <w:rFonts w:eastAsia="Work Sans" w:cs="Work Sans"/>
                <w:lang w:val="en-AU"/>
              </w:rPr>
            </w:pPr>
            <w:r w:rsidRPr="002679AD">
              <w:rPr>
                <w:rFonts w:eastAsia="Work Sans" w:cs="Work Sans"/>
                <w:lang w:val="en-AU"/>
              </w:rPr>
              <w:t>Output</w:t>
            </w:r>
          </w:p>
        </w:tc>
      </w:tr>
      <w:tr w:rsidR="009D2AB6" w:rsidRPr="003E22F6" w14:paraId="23BBD3B5" w14:textId="77777777" w:rsidTr="00A94D93">
        <w:trPr>
          <w:trHeight w:val="60"/>
        </w:trPr>
        <w:tc>
          <w:tcPr>
            <w:tcW w:w="2445" w:type="dxa"/>
            <w:tcBorders>
              <w:top w:val="single" w:sz="8" w:space="0" w:color="2F3A48"/>
              <w:left w:val="nil"/>
              <w:bottom w:val="single" w:sz="8" w:space="0" w:color="2F3A48"/>
              <w:right w:val="nil"/>
            </w:tcBorders>
            <w:shd w:val="clear" w:color="auto" w:fill="F4F7F9"/>
            <w:tcMar>
              <w:left w:w="108" w:type="dxa"/>
              <w:right w:w="108" w:type="dxa"/>
            </w:tcMar>
          </w:tcPr>
          <w:p w14:paraId="2D3F306B" w14:textId="77777777" w:rsidR="009D2AB6" w:rsidRPr="00F97455" w:rsidRDefault="009D2AB6" w:rsidP="00F97455">
            <w:pPr>
              <w:rPr>
                <w:rFonts w:ascii="Work Sans Medium" w:hAnsi="Work Sans Medium"/>
                <w:lang w:val="en-AU"/>
              </w:rPr>
            </w:pPr>
            <w:r w:rsidRPr="00F97455">
              <w:rPr>
                <w:rFonts w:ascii="Work Sans Medium" w:hAnsi="Work Sans Medium"/>
                <w:lang w:val="en-AU"/>
              </w:rPr>
              <w:t>Target</w:t>
            </w:r>
          </w:p>
        </w:tc>
        <w:tc>
          <w:tcPr>
            <w:tcW w:w="6581" w:type="dxa"/>
            <w:tcBorders>
              <w:top w:val="single" w:sz="8" w:space="0" w:color="2F3A48"/>
              <w:left w:val="nil"/>
              <w:bottom w:val="single" w:sz="8" w:space="0" w:color="2F3A48"/>
              <w:right w:val="nil"/>
            </w:tcBorders>
            <w:shd w:val="clear" w:color="auto" w:fill="F4F7F9"/>
            <w:tcMar>
              <w:left w:w="108" w:type="dxa"/>
              <w:right w:w="108" w:type="dxa"/>
            </w:tcMar>
          </w:tcPr>
          <w:p w14:paraId="6C31516F" w14:textId="77777777" w:rsidR="009D2AB6" w:rsidRPr="002679AD" w:rsidRDefault="009D2AB6" w:rsidP="00F97455">
            <w:pPr>
              <w:rPr>
                <w:rFonts w:eastAsia="Work Sans" w:cs="Work Sans"/>
                <w:lang w:val="en-AU"/>
              </w:rPr>
            </w:pPr>
            <w:r w:rsidRPr="002679AD">
              <w:rPr>
                <w:rFonts w:eastAsia="Work Sans" w:cs="Work Sans"/>
                <w:lang w:val="en-AU"/>
              </w:rPr>
              <w:t>100</w:t>
            </w:r>
          </w:p>
          <w:p w14:paraId="3B0E03FD" w14:textId="123CF6A2" w:rsidR="009D2AB6" w:rsidRPr="002679AD" w:rsidRDefault="009D2AB6" w:rsidP="00F97455">
            <w:pPr>
              <w:rPr>
                <w:rFonts w:eastAsia="Work Sans" w:cs="Work Sans"/>
                <w:lang w:val="en-AU"/>
              </w:rPr>
            </w:pPr>
            <w:r w:rsidRPr="002679AD">
              <w:rPr>
                <w:rFonts w:eastAsia="Work Sans" w:cs="Work Sans"/>
                <w:lang w:val="en-AU"/>
              </w:rPr>
              <w:t xml:space="preserve">Target is per </w:t>
            </w:r>
            <w:r w:rsidR="00F8187E">
              <w:rPr>
                <w:rFonts w:eastAsia="Work Sans" w:cs="Work Sans"/>
                <w:color w:val="2F3A48"/>
                <w:lang w:val="en-AU"/>
              </w:rPr>
              <w:t xml:space="preserve">financial </w:t>
            </w:r>
            <w:r w:rsidRPr="002679AD">
              <w:rPr>
                <w:rFonts w:eastAsia="Work Sans" w:cs="Work Sans"/>
                <w:lang w:val="en-AU"/>
              </w:rPr>
              <w:t>year across the life of the plan</w:t>
            </w:r>
          </w:p>
        </w:tc>
      </w:tr>
      <w:tr w:rsidR="009D2AB6" w:rsidRPr="003E22F6" w14:paraId="61F90E5D" w14:textId="77777777" w:rsidTr="00A94D93">
        <w:trPr>
          <w:trHeight w:val="60"/>
        </w:trPr>
        <w:tc>
          <w:tcPr>
            <w:tcW w:w="2445" w:type="dxa"/>
            <w:tcBorders>
              <w:top w:val="single" w:sz="8" w:space="0" w:color="2F3A48"/>
              <w:left w:val="nil"/>
              <w:bottom w:val="single" w:sz="8" w:space="0" w:color="2F3A48"/>
              <w:right w:val="nil"/>
            </w:tcBorders>
            <w:tcMar>
              <w:left w:w="108" w:type="dxa"/>
              <w:right w:w="108" w:type="dxa"/>
            </w:tcMar>
          </w:tcPr>
          <w:p w14:paraId="77B59593" w14:textId="77777777" w:rsidR="009D2AB6" w:rsidRPr="00F97455" w:rsidRDefault="009D2AB6" w:rsidP="00F97455">
            <w:pPr>
              <w:rPr>
                <w:rFonts w:ascii="Work Sans Medium" w:hAnsi="Work Sans Medium" w:cs="Arial"/>
                <w:color w:val="auto"/>
                <w:lang w:val="en-AU"/>
              </w:rPr>
            </w:pPr>
            <w:r w:rsidRPr="00F97455">
              <w:rPr>
                <w:rFonts w:ascii="Work Sans Medium" w:hAnsi="Work Sans Medium"/>
                <w:lang w:val="en-AU"/>
              </w:rPr>
              <w:t>Changes from the previous year</w:t>
            </w:r>
          </w:p>
        </w:tc>
        <w:tc>
          <w:tcPr>
            <w:tcW w:w="6581" w:type="dxa"/>
            <w:tcBorders>
              <w:top w:val="single" w:sz="8" w:space="0" w:color="2F3A48"/>
              <w:left w:val="nil"/>
              <w:bottom w:val="single" w:sz="8" w:space="0" w:color="2F3A48"/>
              <w:right w:val="nil"/>
            </w:tcBorders>
            <w:tcMar>
              <w:left w:w="108" w:type="dxa"/>
              <w:right w:w="108" w:type="dxa"/>
            </w:tcMar>
          </w:tcPr>
          <w:p w14:paraId="0C382BE8" w14:textId="77777777" w:rsidR="009D2AB6" w:rsidRPr="002679AD" w:rsidRDefault="009D2AB6" w:rsidP="00F97455">
            <w:pPr>
              <w:rPr>
                <w:rFonts w:ascii="Aptos" w:hAnsi="Aptos" w:cs="Arial"/>
                <w:color w:val="auto"/>
                <w:lang w:val="en-AU"/>
              </w:rPr>
            </w:pPr>
            <w:r w:rsidRPr="002679AD">
              <w:rPr>
                <w:rFonts w:eastAsia="Work Sans" w:cs="Work Sans"/>
                <w:lang w:val="en-AU"/>
              </w:rPr>
              <w:t>Nil.</w:t>
            </w:r>
          </w:p>
        </w:tc>
      </w:tr>
    </w:tbl>
    <w:p w14:paraId="2AD62722" w14:textId="77777777" w:rsidR="00F8187E" w:rsidRDefault="009E5597" w:rsidP="00F97455">
      <w:pPr>
        <w:pStyle w:val="Heading3"/>
        <w:spacing w:before="360" w:after="240"/>
      </w:pPr>
      <w:r w:rsidRPr="009E5597">
        <w:t>KPI 1.</w:t>
      </w:r>
      <w:r>
        <w:t>3</w:t>
      </w:r>
    </w:p>
    <w:p w14:paraId="2E245171" w14:textId="74A8024A" w:rsidR="009D2AB6" w:rsidRPr="003E22F6" w:rsidRDefault="00F8187E" w:rsidP="00F8187E">
      <w:pPr>
        <w:pStyle w:val="Heading4"/>
        <w:rPr>
          <w:lang w:eastAsia="ja-JP"/>
        </w:rPr>
      </w:pPr>
      <w:r>
        <w:t>T</w:t>
      </w:r>
      <w:r w:rsidR="009D2AB6" w:rsidRPr="003E22F6">
        <w:rPr>
          <w:lang w:eastAsia="ja-JP"/>
        </w:rPr>
        <w:t>arget rationale</w:t>
      </w:r>
    </w:p>
    <w:p w14:paraId="3C373532" w14:textId="77777777" w:rsidR="00F575CC" w:rsidRDefault="009D2AB6" w:rsidP="00F97455">
      <w:pPr>
        <w:rPr>
          <w:lang w:eastAsia="ja-JP"/>
        </w:rPr>
      </w:pPr>
      <w:r w:rsidRPr="003E22F6">
        <w:rPr>
          <w:lang w:eastAsia="ja-JP"/>
        </w:rPr>
        <w:t>The target for corruption prevention and education products and engagements remains appropriate and commensurate with resources.</w:t>
      </w:r>
    </w:p>
    <w:p w14:paraId="57B9B7C1" w14:textId="41E2FE01" w:rsidR="009D2AB6" w:rsidRPr="003E22F6" w:rsidRDefault="009D2AB6" w:rsidP="00F97455">
      <w:pPr>
        <w:rPr>
          <w:lang w:eastAsia="ja-JP"/>
        </w:rPr>
      </w:pPr>
      <w:r w:rsidRPr="003E22F6">
        <w:rPr>
          <w:lang w:eastAsia="ja-JP"/>
        </w:rPr>
        <w:t xml:space="preserve">While delivery exceeded targets during the Commission’s establishment phase, performance is expected to stabilise as activities mature. Engagements will increasingly focus on coordinated thematic delivery, reflecting improved baseline capability and knowledge of the Commission’s jurisdiction. </w:t>
      </w:r>
      <w:r w:rsidR="000F209B">
        <w:rPr>
          <w:lang w:eastAsia="ja-JP"/>
        </w:rPr>
        <w:t>The Commission will continue to review the target</w:t>
      </w:r>
      <w:r w:rsidR="00374C2F">
        <w:rPr>
          <w:lang w:eastAsia="ja-JP"/>
        </w:rPr>
        <w:t xml:space="preserve"> for KPI 1.3 over the life of the plan</w:t>
      </w:r>
      <w:r w:rsidR="000F209B">
        <w:rPr>
          <w:lang w:eastAsia="ja-JP"/>
        </w:rPr>
        <w:t xml:space="preserve"> and adjust</w:t>
      </w:r>
      <w:r w:rsidR="00374C2F">
        <w:rPr>
          <w:lang w:eastAsia="ja-JP"/>
        </w:rPr>
        <w:t xml:space="preserve"> if appropriate.</w:t>
      </w:r>
    </w:p>
    <w:p w14:paraId="0ACB3917" w14:textId="12B577AB" w:rsidR="009D2AB6" w:rsidRPr="003E22F6" w:rsidRDefault="009D2AB6" w:rsidP="00F8187E">
      <w:pPr>
        <w:pStyle w:val="Heading4"/>
        <w:rPr>
          <w:lang w:eastAsia="ja-JP"/>
        </w:rPr>
      </w:pPr>
      <w:r w:rsidRPr="003E22F6">
        <w:rPr>
          <w:lang w:eastAsia="ja-JP"/>
        </w:rPr>
        <w:t xml:space="preserve">How </w:t>
      </w:r>
      <w:r w:rsidR="00F8187E">
        <w:t>this measure</w:t>
      </w:r>
      <w:r w:rsidR="009E5597" w:rsidRPr="009E5597">
        <w:t xml:space="preserve"> </w:t>
      </w:r>
      <w:r w:rsidRPr="003E22F6">
        <w:rPr>
          <w:lang w:eastAsia="ja-JP"/>
        </w:rPr>
        <w:t>achieves the Commission’s purpose (</w:t>
      </w:r>
      <w:r w:rsidR="00BA26C7">
        <w:rPr>
          <w:lang w:eastAsia="ja-JP"/>
        </w:rPr>
        <w:t>s</w:t>
      </w:r>
      <w:r w:rsidR="00BA26C7" w:rsidRPr="003E22F6">
        <w:rPr>
          <w:lang w:eastAsia="ja-JP"/>
        </w:rPr>
        <w:t xml:space="preserve">trengths </w:t>
      </w:r>
      <w:r w:rsidRPr="003E22F6">
        <w:rPr>
          <w:lang w:eastAsia="ja-JP"/>
        </w:rPr>
        <w:t>and limitations)</w:t>
      </w:r>
    </w:p>
    <w:p w14:paraId="66949263" w14:textId="77777777" w:rsidR="00F575CC" w:rsidRDefault="009D2AB6" w:rsidP="00F97455">
      <w:pPr>
        <w:rPr>
          <w:lang w:eastAsia="ja-JP"/>
        </w:rPr>
      </w:pPr>
      <w:r w:rsidRPr="003E22F6">
        <w:rPr>
          <w:lang w:eastAsia="ja-JP"/>
        </w:rPr>
        <w:t xml:space="preserve">This measure supports </w:t>
      </w:r>
      <w:r w:rsidRPr="00F97455">
        <w:rPr>
          <w:i/>
          <w:iCs/>
          <w:lang w:eastAsia="ja-JP"/>
        </w:rPr>
        <w:t>Key Activity 5: creating and disseminating information and education to enhance the effectiveness and maturity of approaches to corruption prevention and build a strong integrity culture across the public sector</w:t>
      </w:r>
      <w:r w:rsidRPr="003E22F6">
        <w:rPr>
          <w:lang w:eastAsia="ja-JP"/>
        </w:rPr>
        <w:t>.</w:t>
      </w:r>
    </w:p>
    <w:p w14:paraId="09C3C6C4" w14:textId="77777777" w:rsidR="00F575CC" w:rsidRDefault="009D2AB6" w:rsidP="00F97455">
      <w:pPr>
        <w:rPr>
          <w:lang w:eastAsia="ja-JP"/>
        </w:rPr>
      </w:pPr>
      <w:r w:rsidRPr="003E22F6">
        <w:rPr>
          <w:lang w:eastAsia="ja-JP"/>
        </w:rPr>
        <w:lastRenderedPageBreak/>
        <w:t>It reflects the Commission’s commitment to providing accessible, high-quality materials and targeted engagement to its jurisdiction, including government agencies and the public. Building constructive relationships is central to achieving sustained corruption prevention and integrity uplift outcomes.</w:t>
      </w:r>
    </w:p>
    <w:p w14:paraId="26850CF9" w14:textId="77777777" w:rsidR="00F575CC" w:rsidRDefault="009D2AB6" w:rsidP="00F97455">
      <w:pPr>
        <w:rPr>
          <w:lang w:eastAsia="ja-JP"/>
        </w:rPr>
      </w:pPr>
      <w:r w:rsidRPr="003E22F6">
        <w:rPr>
          <w:lang w:eastAsia="ja-JP"/>
        </w:rPr>
        <w:t xml:space="preserve">Recognising the inherent complexity in measuring </w:t>
      </w:r>
      <w:r w:rsidR="003E22F6" w:rsidRPr="003E22F6">
        <w:rPr>
          <w:lang w:eastAsia="ja-JP"/>
        </w:rPr>
        <w:t>behavioural</w:t>
      </w:r>
      <w:r w:rsidRPr="003E22F6">
        <w:rPr>
          <w:lang w:eastAsia="ja-JP"/>
        </w:rPr>
        <w:t xml:space="preserve"> and cultural change, developing a simple qualitative measure of effectiveness presents challenges. A qualitative performance measure will therefore be introduced in future years to assess the effectiveness and impact of the activities, following the completion of baseline education delivery across a substantial portion of the Commission’s jurisdiction.</w:t>
      </w:r>
    </w:p>
    <w:p w14:paraId="77EE2C27" w14:textId="7A8AE258" w:rsidR="009D2AB6" w:rsidRPr="003E22F6" w:rsidRDefault="00F8187E" w:rsidP="00F8187E">
      <w:pPr>
        <w:pStyle w:val="Heading4"/>
        <w:rPr>
          <w:lang w:eastAsia="ja-JP"/>
        </w:rPr>
      </w:pPr>
      <w:r>
        <w:t>M</w:t>
      </w:r>
      <w:r w:rsidR="009D2AB6" w:rsidRPr="00F97455">
        <w:t>ethodology</w:t>
      </w:r>
    </w:p>
    <w:p w14:paraId="0720D5DF" w14:textId="77777777" w:rsidR="009D2AB6" w:rsidRPr="003E22F6" w:rsidRDefault="009D2AB6" w:rsidP="00F97455">
      <w:pPr>
        <w:rPr>
          <w:rFonts w:ascii="Aptos" w:eastAsia="MS Mincho" w:hAnsi="Aptos" w:cs="Arial"/>
          <w:color w:val="auto"/>
          <w:lang w:eastAsia="ja-JP"/>
        </w:rPr>
      </w:pPr>
      <w:r w:rsidRPr="003E22F6">
        <w:rPr>
          <w:lang w:eastAsia="ja-JP"/>
        </w:rPr>
        <w:t>Results are calculated as the total number of products and engagements delivered during the reporting period.</w:t>
      </w:r>
    </w:p>
    <w:p w14:paraId="11B98FAD" w14:textId="77777777" w:rsidR="009D2AB6" w:rsidRPr="003E22F6" w:rsidRDefault="009D2AB6" w:rsidP="00F97455">
      <w:pPr>
        <w:rPr>
          <w:rFonts w:eastAsia="Work Sans" w:cs="Work Sans"/>
          <w:color w:val="2F3A48"/>
          <w:lang w:eastAsia="ja-JP"/>
        </w:rPr>
      </w:pPr>
      <w:r w:rsidRPr="00A471B5">
        <w:rPr>
          <w:rFonts w:eastAsia="Work Sans" w:cs="Work Sans"/>
          <w:color w:val="2F3A48"/>
          <w:lang w:eastAsia="ja-JP"/>
        </w:rPr>
        <w:t>Products</w:t>
      </w:r>
      <w:r w:rsidRPr="003E22F6">
        <w:rPr>
          <w:rFonts w:eastAsia="Work Sans" w:cs="Work Sans"/>
          <w:b/>
          <w:bCs/>
          <w:color w:val="2F3A48"/>
          <w:lang w:eastAsia="ja-JP"/>
        </w:rPr>
        <w:t xml:space="preserve"> </w:t>
      </w:r>
      <w:r w:rsidRPr="003E22F6">
        <w:rPr>
          <w:rFonts w:eastAsia="Work Sans" w:cs="Work Sans"/>
          <w:color w:val="2F3A48"/>
          <w:lang w:eastAsia="ja-JP"/>
        </w:rPr>
        <w:t>include:</w:t>
      </w:r>
    </w:p>
    <w:p w14:paraId="7FBA2C72" w14:textId="77777777" w:rsidR="00F575CC" w:rsidRPr="00F97455" w:rsidRDefault="009D2AB6" w:rsidP="00F97455">
      <w:pPr>
        <w:pStyle w:val="Bullet1"/>
      </w:pPr>
      <w:r w:rsidRPr="00F97455">
        <w:t>published guidance materials, such as fact sheets, guides, e-learning modules and videos</w:t>
      </w:r>
    </w:p>
    <w:p w14:paraId="4E454767" w14:textId="46DBF7B1" w:rsidR="009D2AB6" w:rsidRPr="00F97455" w:rsidRDefault="009D2AB6" w:rsidP="00F97455">
      <w:pPr>
        <w:pStyle w:val="Bullet1"/>
      </w:pPr>
      <w:r w:rsidRPr="00F97455">
        <w:t>targeted, non-public facing correspondence addressing corruption risks and prevention strategies to agency heads and other entities</w:t>
      </w:r>
    </w:p>
    <w:p w14:paraId="52D10CD7" w14:textId="77777777" w:rsidR="009D2AB6" w:rsidRPr="00F97455" w:rsidRDefault="009D2AB6" w:rsidP="00F97455">
      <w:pPr>
        <w:pStyle w:val="Bullet1"/>
      </w:pPr>
      <w:r w:rsidRPr="00F97455">
        <w:t>where new content is added to an existing product or content is adapted from one format to another (e.g. a fact sheet is used as the basis for a new video product).</w:t>
      </w:r>
    </w:p>
    <w:p w14:paraId="0818B339" w14:textId="77777777" w:rsidR="00F575CC" w:rsidRDefault="009D2AB6" w:rsidP="00F97455">
      <w:pPr>
        <w:rPr>
          <w:lang w:eastAsia="ja-JP"/>
        </w:rPr>
      </w:pPr>
      <w:r w:rsidRPr="00F97455">
        <w:rPr>
          <w:iCs/>
          <w:lang w:eastAsia="ja-JP"/>
        </w:rPr>
        <w:t>Exclusions</w:t>
      </w:r>
      <w:r w:rsidRPr="003E22F6">
        <w:rPr>
          <w:lang w:eastAsia="ja-JP"/>
        </w:rPr>
        <w:t xml:space="preserve">: Minor updates or reformatting of existing materials. </w:t>
      </w:r>
    </w:p>
    <w:p w14:paraId="79F53B84" w14:textId="428F2203" w:rsidR="009D2AB6" w:rsidRPr="003E22F6" w:rsidRDefault="009D2AB6" w:rsidP="00F97455">
      <w:pPr>
        <w:rPr>
          <w:lang w:eastAsia="ja-JP"/>
        </w:rPr>
      </w:pPr>
      <w:r w:rsidRPr="00A471B5">
        <w:rPr>
          <w:lang w:eastAsia="ja-JP"/>
        </w:rPr>
        <w:t>Engagements</w:t>
      </w:r>
      <w:r w:rsidRPr="003E22F6">
        <w:rPr>
          <w:lang w:eastAsia="ja-JP"/>
        </w:rPr>
        <w:t xml:space="preserve"> include:</w:t>
      </w:r>
    </w:p>
    <w:p w14:paraId="4FF92CD1" w14:textId="77777777" w:rsidR="009D2AB6" w:rsidRPr="00F97455" w:rsidRDefault="009D2AB6" w:rsidP="00F97455">
      <w:pPr>
        <w:pStyle w:val="Bullet1"/>
      </w:pPr>
      <w:r w:rsidRPr="00F97455">
        <w:t>presentations, training sessions and workshops delivered by Commission representatives</w:t>
      </w:r>
    </w:p>
    <w:p w14:paraId="25391D20" w14:textId="77777777" w:rsidR="009D2AB6" w:rsidRPr="00F97455" w:rsidRDefault="009D2AB6" w:rsidP="00F97455">
      <w:pPr>
        <w:pStyle w:val="Bullet1"/>
      </w:pPr>
      <w:r w:rsidRPr="00F97455">
        <w:lastRenderedPageBreak/>
        <w:t>participation in meetings, panels and events to deliver corruption prevention messages.</w:t>
      </w:r>
    </w:p>
    <w:p w14:paraId="0B685185" w14:textId="77777777" w:rsidR="00F575CC" w:rsidRPr="000F436E" w:rsidRDefault="009D2AB6" w:rsidP="000F436E">
      <w:r w:rsidRPr="000F436E">
        <w:t>Note: Large events or conferences may include multiple engagements where sessions are distinct in content, presenter or preparation.</w:t>
      </w:r>
    </w:p>
    <w:p w14:paraId="163DBD4B" w14:textId="1C1FCF81" w:rsidR="009D2AB6" w:rsidRPr="000F436E" w:rsidRDefault="009D2AB6" w:rsidP="000F436E">
      <w:r w:rsidRPr="000F436E">
        <w:t>Exclusions: Routine meetings or events where the Commission does not play an active role are excluded.</w:t>
      </w:r>
    </w:p>
    <w:p w14:paraId="5993A5A2" w14:textId="3AC1D3A6" w:rsidR="009D2AB6" w:rsidRPr="003E22F6" w:rsidRDefault="00F8187E" w:rsidP="00F8187E">
      <w:pPr>
        <w:pStyle w:val="Heading4"/>
        <w:rPr>
          <w:lang w:eastAsia="ja-JP"/>
        </w:rPr>
      </w:pPr>
      <w:r>
        <w:t>D</w:t>
      </w:r>
      <w:r w:rsidR="009D2AB6" w:rsidRPr="003E22F6">
        <w:rPr>
          <w:lang w:eastAsia="ja-JP"/>
        </w:rPr>
        <w:t xml:space="preserve">ata </w:t>
      </w:r>
      <w:r w:rsidR="009D2AB6" w:rsidRPr="000F436E">
        <w:t>sources</w:t>
      </w:r>
    </w:p>
    <w:p w14:paraId="02F8FE39" w14:textId="77777777" w:rsidR="00727552" w:rsidRDefault="009D2AB6" w:rsidP="000F436E">
      <w:pPr>
        <w:rPr>
          <w:lang w:eastAsia="ja-JP"/>
        </w:rPr>
      </w:pPr>
      <w:r w:rsidRPr="003E22F6">
        <w:rPr>
          <w:lang w:eastAsia="ja-JP"/>
        </w:rPr>
        <w:t>The Commission maintains a register of CPE products and engagements for KPI reporting purposes.</w:t>
      </w:r>
    </w:p>
    <w:p w14:paraId="6EF898BE" w14:textId="4242425F" w:rsidR="009D2AB6" w:rsidRPr="003E22F6" w:rsidRDefault="0FD26F4C" w:rsidP="000F436E">
      <w:pPr>
        <w:pStyle w:val="Heading2"/>
        <w:spacing w:before="360" w:after="240"/>
        <w:rPr>
          <w:color w:val="2F3A48"/>
        </w:rPr>
      </w:pPr>
      <w:bookmarkStart w:id="76" w:name="_Toc236917915"/>
      <w:r w:rsidRPr="5715D848">
        <w:t xml:space="preserve">NACC </w:t>
      </w:r>
      <w:r w:rsidRPr="000F436E">
        <w:t>Act</w:t>
      </w:r>
      <w:r w:rsidRPr="5715D848">
        <w:t xml:space="preserve"> reporting requirements</w:t>
      </w:r>
      <w:bookmarkEnd w:id="76"/>
    </w:p>
    <w:p w14:paraId="52089474" w14:textId="77777777" w:rsidR="009D2AB6" w:rsidRPr="003E22F6" w:rsidRDefault="009D2AB6" w:rsidP="000F436E">
      <w:r w:rsidRPr="003E22F6">
        <w:t xml:space="preserve">The NACC Act specifies reporting requirements on the performance of the Commissioner’s functions. The </w:t>
      </w:r>
      <w:r w:rsidRPr="00A471B5">
        <w:t>National Anti</w:t>
      </w:r>
      <w:r w:rsidRPr="00A471B5">
        <w:noBreakHyphen/>
        <w:t>Corruption Commission Regulations 2023</w:t>
      </w:r>
      <w:r w:rsidRPr="003E22F6">
        <w:t xml:space="preserve"> (NACC Regulations) provide additional detail. These requirements provide a measure of the Commission’s activity and output and are outlined in Table 2.</w:t>
      </w:r>
    </w:p>
    <w:p w14:paraId="2E34017B" w14:textId="77777777" w:rsidR="009D2AB6" w:rsidRPr="003E22F6" w:rsidRDefault="009D2AB6" w:rsidP="000F436E">
      <w:r w:rsidRPr="003E22F6">
        <w:t>The Commission will publish results for these performance measures from the financial year in its Annual Report.</w:t>
      </w:r>
    </w:p>
    <w:p w14:paraId="1C298F45" w14:textId="77777777" w:rsidR="009D2AB6" w:rsidRPr="005F77C6" w:rsidRDefault="0FD26F4C" w:rsidP="000F436E">
      <w:pPr>
        <w:pStyle w:val="Heading3"/>
        <w:spacing w:before="360" w:after="240"/>
        <w:rPr>
          <w:color w:val="2F3A48"/>
        </w:rPr>
      </w:pPr>
      <w:r w:rsidRPr="5715D848">
        <w:t xml:space="preserve">Changes </w:t>
      </w:r>
      <w:r w:rsidRPr="000F436E">
        <w:t>from</w:t>
      </w:r>
      <w:r w:rsidRPr="5715D848">
        <w:t xml:space="preserve"> the previous year</w:t>
      </w:r>
    </w:p>
    <w:p w14:paraId="48A5C6F3" w14:textId="77777777" w:rsidR="00F575CC" w:rsidRDefault="009D2AB6" w:rsidP="009D2AB6">
      <w:pPr>
        <w:spacing w:before="120" w:after="120"/>
        <w:rPr>
          <w:rFonts w:eastAsia="Work Sans" w:cs="Times New Roman"/>
          <w:color w:val="2F3A48" w:themeColor="accent6"/>
        </w:rPr>
      </w:pPr>
      <w:r w:rsidRPr="42758F39">
        <w:rPr>
          <w:rFonts w:eastAsia="Work Sans" w:cs="Times New Roman"/>
          <w:color w:val="2F3A48" w:themeColor="accent6"/>
        </w:rPr>
        <w:t>In 2025</w:t>
      </w:r>
      <w:r w:rsidR="004F0027" w:rsidRPr="42758F39">
        <w:rPr>
          <w:rFonts w:eastAsia="Work Sans" w:cs="Times New Roman"/>
          <w:color w:val="2F3A48" w:themeColor="accent6"/>
        </w:rPr>
        <w:t>–</w:t>
      </w:r>
      <w:r w:rsidRPr="42758F39">
        <w:rPr>
          <w:rFonts w:eastAsia="Work Sans" w:cs="Times New Roman"/>
          <w:color w:val="2F3A48" w:themeColor="accent6"/>
        </w:rPr>
        <w:t xml:space="preserve">26, the Commission made </w:t>
      </w:r>
      <w:r w:rsidR="00A66561" w:rsidRPr="42758F39">
        <w:rPr>
          <w:rFonts w:eastAsia="Work Sans" w:cs="Times New Roman"/>
          <w:color w:val="2F3A48" w:themeColor="accent6"/>
        </w:rPr>
        <w:t xml:space="preserve">3 </w:t>
      </w:r>
      <w:r w:rsidRPr="42758F39">
        <w:rPr>
          <w:rFonts w:eastAsia="Work Sans" w:cs="Times New Roman"/>
          <w:color w:val="2F3A48" w:themeColor="accent6"/>
        </w:rPr>
        <w:t>changes to reporting which impact results for the Commissioner’s annual report requirements compared with previous reporting periods.</w:t>
      </w:r>
    </w:p>
    <w:p w14:paraId="6252324B" w14:textId="77777777" w:rsidR="00F575CC" w:rsidRDefault="009D2AB6" w:rsidP="000F436E">
      <w:pPr>
        <w:pStyle w:val="Heading3"/>
        <w:spacing w:before="360" w:after="240"/>
      </w:pPr>
      <w:r w:rsidRPr="004C0F30">
        <w:lastRenderedPageBreak/>
        <w:t>Referral case types</w:t>
      </w:r>
    </w:p>
    <w:p w14:paraId="257AFC7B" w14:textId="5A3337CB" w:rsidR="00F575CC" w:rsidRDefault="009D2AB6" w:rsidP="000F436E">
      <w:r w:rsidRPr="005F77C6">
        <w:t xml:space="preserve">Own initiative corruption issue case types are no longer counted toward the aggregate total of referrals received. </w:t>
      </w:r>
      <w:r w:rsidRPr="006E62D9">
        <w:t xml:space="preserve">A referral is information received by the Commission under ss 32, 33, 34 or 35 of the NACC Act. </w:t>
      </w:r>
      <w:r w:rsidRPr="005F77C6">
        <w:t xml:space="preserve">During 2025-26 it was clarified that while own initiative cases undergo a similar assessment process, they are not referrals under the NACC Act but rather a type of corruption issue as per </w:t>
      </w:r>
      <w:r w:rsidR="004742D3">
        <w:t>sub</w:t>
      </w:r>
      <w:r w:rsidR="0063055A">
        <w:t>-</w:t>
      </w:r>
      <w:r w:rsidRPr="005F77C6">
        <w:t>ss 40(1)(b) and 40(2).</w:t>
      </w:r>
    </w:p>
    <w:p w14:paraId="618BD266" w14:textId="77777777" w:rsidR="00F575CC" w:rsidRDefault="009D2AB6" w:rsidP="000F436E">
      <w:r w:rsidRPr="006E62D9">
        <w:t>This change does not affect any of the listed requirements directly. However, it affects the aggregate total for referrals received, which is reported alongside KPI 1.1 and Commissioner’s annual report requirements 1</w:t>
      </w:r>
      <w:r w:rsidR="009146FE">
        <w:t> </w:t>
      </w:r>
      <w:r w:rsidRPr="006E62D9">
        <w:t>and 2.</w:t>
      </w:r>
    </w:p>
    <w:p w14:paraId="7430C286" w14:textId="77777777" w:rsidR="00F575CC" w:rsidRDefault="009D2AB6" w:rsidP="000F436E">
      <w:pPr>
        <w:pStyle w:val="Heading3"/>
        <w:spacing w:before="360" w:after="240"/>
      </w:pPr>
      <w:r w:rsidRPr="004C0F30">
        <w:t>Corruption issues dealt with</w:t>
      </w:r>
    </w:p>
    <w:p w14:paraId="72C53D65" w14:textId="77777777" w:rsidR="00F575CC" w:rsidRDefault="009D2AB6" w:rsidP="000F436E">
      <w:r w:rsidRPr="006E62D9">
        <w:t xml:space="preserve">In previous reporting periods, corruption issues dealt with were counted from the starting assumption that one referral was equal to one corruption issue. However, in practice one referral can include one or more </w:t>
      </w:r>
      <w:r w:rsidR="272D4B6F">
        <w:t>corruption issue</w:t>
      </w:r>
      <w:r w:rsidR="00DE6CE0">
        <w:t>s</w:t>
      </w:r>
      <w:r w:rsidRPr="006E62D9">
        <w:t xml:space="preserve">, and decisions are made and recorded against </w:t>
      </w:r>
      <w:r w:rsidR="720BF6F9">
        <w:t>issues</w:t>
      </w:r>
      <w:r w:rsidRPr="006E62D9">
        <w:t xml:space="preserve"> in the Commission’s case management system.</w:t>
      </w:r>
    </w:p>
    <w:p w14:paraId="6371D552" w14:textId="77777777" w:rsidR="00F575CC" w:rsidRDefault="009D2AB6" w:rsidP="000F436E">
      <w:r w:rsidRPr="006E62D9">
        <w:t xml:space="preserve">To facilitate more accurate reporting and to reduce manual calculation, a change was introduced </w:t>
      </w:r>
      <w:r w:rsidRPr="003E22F6">
        <w:t>during the 2025</w:t>
      </w:r>
      <w:r w:rsidR="00BB3107">
        <w:t>–</w:t>
      </w:r>
      <w:r w:rsidRPr="003E22F6">
        <w:t xml:space="preserve">26 reporting period. Corruption issues dealt with are now counted on </w:t>
      </w:r>
      <w:r w:rsidR="4A1AC75C">
        <w:t>a specific issue</w:t>
      </w:r>
      <w:r w:rsidRPr="003E22F6">
        <w:t xml:space="preserve"> basis rather than by case. This affects Commissioner’s annual report requirements 4, 5, 6, 7, 8 and 12.</w:t>
      </w:r>
    </w:p>
    <w:p w14:paraId="734048F4" w14:textId="77777777" w:rsidR="00F575CC" w:rsidRDefault="009D2AB6" w:rsidP="000F436E">
      <w:r w:rsidRPr="003E22F6">
        <w:t xml:space="preserve">This also applies for how the Commission counts </w:t>
      </w:r>
      <w:r w:rsidR="0037751D">
        <w:t xml:space="preserve">outcomes of </w:t>
      </w:r>
      <w:r w:rsidRPr="003E22F6">
        <w:t xml:space="preserve">preliminary investigations. Reporting on preliminary investigations is not mandatory, but the Commission considers it </w:t>
      </w:r>
      <w:r w:rsidR="003C6174">
        <w:t xml:space="preserve">a </w:t>
      </w:r>
      <w:r w:rsidRPr="003E22F6">
        <w:t>relevant activity to include in the context of other Commissioner’s report</w:t>
      </w:r>
      <w:r w:rsidR="007E2D59">
        <w:t>ing</w:t>
      </w:r>
      <w:r w:rsidRPr="003E22F6">
        <w:t xml:space="preserve"> requirements.</w:t>
      </w:r>
    </w:p>
    <w:p w14:paraId="41ED6328" w14:textId="77777777" w:rsidR="00F575CC" w:rsidRDefault="00804201" w:rsidP="000F436E">
      <w:pPr>
        <w:pStyle w:val="Heading3"/>
        <w:spacing w:before="360" w:after="240"/>
      </w:pPr>
      <w:r>
        <w:lastRenderedPageBreak/>
        <w:t>Finalised agency investigations</w:t>
      </w:r>
    </w:p>
    <w:p w14:paraId="5AFCA424" w14:textId="77777777" w:rsidR="00F575CC" w:rsidRDefault="00504A3C" w:rsidP="000F436E">
      <w:r w:rsidRPr="00504A3C">
        <w:t>In previous reporting periods, an agency investigation was counted as finalised when a mandatory completion report was received, or the corruption issue was reconsidered under s 41(5). In 2025–26, the Commission revised the definition for when an agency investigation is considered finalised to more accurately reflect how the Commission manages agency investigations. An agency investigation is considered finalised:</w:t>
      </w:r>
    </w:p>
    <w:p w14:paraId="176DE94F" w14:textId="73A34E38" w:rsidR="00504A3C" w:rsidRPr="000F436E" w:rsidRDefault="00504A3C" w:rsidP="000F436E">
      <w:pPr>
        <w:pStyle w:val="Bullet1"/>
      </w:pPr>
      <w:r w:rsidRPr="000F436E">
        <w:t>after a mandatory completion report has been received, reviewed by the Commissioner or delegate, and a decision on whether any further action is required has been taken, or</w:t>
      </w:r>
    </w:p>
    <w:p w14:paraId="115B63BE" w14:textId="77777777" w:rsidR="00F575CC" w:rsidRPr="000F436E" w:rsidRDefault="00504A3C" w:rsidP="000F436E">
      <w:pPr>
        <w:pStyle w:val="Bullet1"/>
      </w:pPr>
      <w:r w:rsidRPr="000F436E">
        <w:t>when the Commissioner or delegate reconsiders all corruption issues associated with the agency investigation under s41(5).</w:t>
      </w:r>
    </w:p>
    <w:p w14:paraId="45318829" w14:textId="77777777" w:rsidR="00F575CC" w:rsidRDefault="00504A3C" w:rsidP="000F436E">
      <w:r w:rsidRPr="00504A3C">
        <w:t>This change has been retrospectively applied to agency investigations finalised in previous reporting periods. There is a minor impact on previously reported figures for status of agency investigations and which reporting period a finalisation occurred in.</w:t>
      </w:r>
      <w:r>
        <w:t xml:space="preserve"> This </w:t>
      </w:r>
      <w:r w:rsidR="00BF208A">
        <w:t>impacts requirement 11 and is also addressed in the 2025</w:t>
      </w:r>
      <w:r w:rsidR="00BF208A" w:rsidRPr="00504A3C">
        <w:t>–</w:t>
      </w:r>
      <w:r w:rsidR="00BF208A">
        <w:t>26 annual report.</w:t>
      </w:r>
    </w:p>
    <w:p w14:paraId="3FD50B33" w14:textId="583A0729" w:rsidR="009D2AB6" w:rsidRPr="003E22F6" w:rsidRDefault="009D2AB6" w:rsidP="000F436E">
      <w:r w:rsidRPr="000F436E">
        <w:rPr>
          <w:rFonts w:ascii="Work Sans SemiBold" w:hAnsi="Work Sans SemiBold"/>
          <w:bCs/>
          <w:color w:val="1B598C"/>
        </w:rPr>
        <w:t>Table 2:</w:t>
      </w:r>
      <w:r w:rsidRPr="003E22F6">
        <w:rPr>
          <w:b/>
          <w:color w:val="1B598C"/>
        </w:rPr>
        <w:t xml:space="preserve"> </w:t>
      </w:r>
      <w:r w:rsidRPr="003E22F6">
        <w:t>NACC Act reporting requirements</w:t>
      </w:r>
    </w:p>
    <w:tbl>
      <w:tblPr>
        <w:tblStyle w:val="CorporatePlan1"/>
        <w:tblW w:w="0" w:type="auto"/>
        <w:tblLook w:val="0420" w:firstRow="1" w:lastRow="0" w:firstColumn="0" w:lastColumn="0" w:noHBand="0" w:noVBand="1"/>
      </w:tblPr>
      <w:tblGrid>
        <w:gridCol w:w="671"/>
        <w:gridCol w:w="4858"/>
        <w:gridCol w:w="3497"/>
      </w:tblGrid>
      <w:tr w:rsidR="009D2AB6" w:rsidRPr="000F436E" w14:paraId="2A1D66CE" w14:textId="77777777">
        <w:trPr>
          <w:cnfStyle w:val="100000000000" w:firstRow="1" w:lastRow="0" w:firstColumn="0" w:lastColumn="0" w:oddVBand="0" w:evenVBand="0" w:oddHBand="0" w:evenHBand="0" w:firstRowFirstColumn="0" w:firstRowLastColumn="0" w:lastRowFirstColumn="0" w:lastRowLastColumn="0"/>
          <w:tblHeader/>
        </w:trPr>
        <w:tc>
          <w:tcPr>
            <w:tcW w:w="671" w:type="dxa"/>
          </w:tcPr>
          <w:p w14:paraId="6B1B7A97" w14:textId="77777777" w:rsidR="009D2AB6" w:rsidRPr="000F436E" w:rsidRDefault="009D2AB6">
            <w:pPr>
              <w:spacing w:before="120" w:after="120"/>
              <w:rPr>
                <w:rFonts w:ascii="Work Sans SemiBold" w:eastAsia="Work Sans" w:hAnsi="Work Sans SemiBold" w:cs="Times New Roman"/>
                <w:b w:val="0"/>
                <w:bCs/>
              </w:rPr>
            </w:pPr>
            <w:bookmarkStart w:id="77" w:name="ColumnTitle_02"/>
            <w:bookmarkEnd w:id="77"/>
            <w:r w:rsidRPr="000F436E">
              <w:rPr>
                <w:rFonts w:ascii="Work Sans SemiBold" w:eastAsia="Work Sans" w:hAnsi="Work Sans SemiBold" w:cs="Times New Roman"/>
                <w:b w:val="0"/>
                <w:bCs/>
              </w:rPr>
              <w:t>No.</w:t>
            </w:r>
          </w:p>
        </w:tc>
        <w:tc>
          <w:tcPr>
            <w:tcW w:w="4858" w:type="dxa"/>
          </w:tcPr>
          <w:p w14:paraId="183AF59C" w14:textId="77777777" w:rsidR="009D2AB6" w:rsidRPr="000F436E" w:rsidRDefault="009D2AB6">
            <w:pPr>
              <w:spacing w:before="120" w:after="120"/>
              <w:rPr>
                <w:rFonts w:ascii="Work Sans SemiBold" w:eastAsia="Work Sans" w:hAnsi="Work Sans SemiBold" w:cs="Times New Roman"/>
                <w:b w:val="0"/>
                <w:bCs/>
              </w:rPr>
            </w:pPr>
            <w:r w:rsidRPr="000F436E">
              <w:rPr>
                <w:rFonts w:ascii="Work Sans SemiBold" w:eastAsia="Work Sans" w:hAnsi="Work Sans SemiBold" w:cs="Times New Roman"/>
                <w:b w:val="0"/>
                <w:bCs/>
              </w:rPr>
              <w:t>Requirement</w:t>
            </w:r>
          </w:p>
        </w:tc>
        <w:tc>
          <w:tcPr>
            <w:tcW w:w="3497" w:type="dxa"/>
          </w:tcPr>
          <w:p w14:paraId="28ED13CD" w14:textId="77777777" w:rsidR="009D2AB6" w:rsidRPr="000F436E" w:rsidRDefault="009D2AB6">
            <w:pPr>
              <w:spacing w:before="120" w:after="120"/>
              <w:rPr>
                <w:rFonts w:ascii="Work Sans SemiBold" w:eastAsia="Work Sans" w:hAnsi="Work Sans SemiBold" w:cs="Times New Roman"/>
                <w:b w:val="0"/>
                <w:bCs/>
              </w:rPr>
            </w:pPr>
            <w:r w:rsidRPr="000F436E">
              <w:rPr>
                <w:rFonts w:ascii="Work Sans SemiBold" w:eastAsia="Work Sans" w:hAnsi="Work Sans SemiBold" w:cs="Times New Roman"/>
                <w:b w:val="0"/>
                <w:bCs/>
              </w:rPr>
              <w:t>Legislative reference</w:t>
            </w:r>
          </w:p>
        </w:tc>
      </w:tr>
      <w:tr w:rsidR="009D2AB6" w:rsidRPr="003E22F6" w14:paraId="6971762D" w14:textId="77777777">
        <w:trPr>
          <w:cnfStyle w:val="000000100000" w:firstRow="0" w:lastRow="0" w:firstColumn="0" w:lastColumn="0" w:oddVBand="0" w:evenVBand="0" w:oddHBand="1" w:evenHBand="0" w:firstRowFirstColumn="0" w:firstRowLastColumn="0" w:lastRowFirstColumn="0" w:lastRowLastColumn="0"/>
        </w:trPr>
        <w:tc>
          <w:tcPr>
            <w:tcW w:w="671" w:type="dxa"/>
          </w:tcPr>
          <w:p w14:paraId="44FDC3AE" w14:textId="77777777" w:rsidR="009D2AB6" w:rsidRPr="000F47C5" w:rsidRDefault="009D2AB6">
            <w:pPr>
              <w:spacing w:before="120" w:after="120"/>
              <w:rPr>
                <w:rFonts w:eastAsia="Work Sans" w:cs="Times New Roman"/>
                <w:color w:val="2F3A48"/>
              </w:rPr>
            </w:pPr>
            <w:r w:rsidRPr="003E22F6">
              <w:rPr>
                <w:rFonts w:eastAsia="Work Sans" w:cs="Times New Roman"/>
                <w:color w:val="2F3A48"/>
              </w:rPr>
              <w:t>1</w:t>
            </w:r>
          </w:p>
        </w:tc>
        <w:tc>
          <w:tcPr>
            <w:tcW w:w="4858" w:type="dxa"/>
          </w:tcPr>
          <w:p w14:paraId="5648B1B1" w14:textId="77777777" w:rsidR="009D2AB6" w:rsidRPr="000F47C5" w:rsidRDefault="009D2AB6">
            <w:pPr>
              <w:spacing w:before="120" w:after="120"/>
              <w:rPr>
                <w:rFonts w:eastAsia="Work Sans" w:cs="Times New Roman"/>
                <w:color w:val="2F3A48"/>
              </w:rPr>
            </w:pPr>
            <w:r w:rsidRPr="003E22F6">
              <w:rPr>
                <w:rFonts w:eastAsia="Work Sans" w:cs="Times New Roman"/>
                <w:color w:val="2F3A48"/>
              </w:rPr>
              <w:t>Number of voluntary referrals received</w:t>
            </w:r>
          </w:p>
        </w:tc>
        <w:tc>
          <w:tcPr>
            <w:tcW w:w="3497" w:type="dxa"/>
          </w:tcPr>
          <w:p w14:paraId="3DD5B814" w14:textId="77777777" w:rsidR="009D2AB6" w:rsidRPr="000F47C5" w:rsidRDefault="009D2AB6">
            <w:pPr>
              <w:tabs>
                <w:tab w:val="left" w:pos="113"/>
              </w:tabs>
              <w:suppressAutoHyphens/>
              <w:spacing w:before="120" w:after="120"/>
              <w:textAlignment w:val="center"/>
              <w:rPr>
                <w:rFonts w:eastAsia="Work Sans" w:cs="WorkSans-Light"/>
                <w:color w:val="2F3A48"/>
              </w:rPr>
            </w:pPr>
            <w:r w:rsidRPr="000F47C5">
              <w:rPr>
                <w:rFonts w:eastAsia="Work Sans" w:cs="WorkSans-Light"/>
                <w:color w:val="2F3A48"/>
              </w:rPr>
              <w:t>NACC Act: s 271(2)(a)(</w:t>
            </w:r>
            <w:proofErr w:type="spellStart"/>
            <w:r w:rsidRPr="000F47C5">
              <w:rPr>
                <w:rFonts w:eastAsia="Work Sans" w:cs="WorkSans-Light"/>
                <w:color w:val="2F3A48"/>
              </w:rPr>
              <w:t>i</w:t>
            </w:r>
            <w:proofErr w:type="spellEnd"/>
            <w:r w:rsidRPr="000F47C5">
              <w:rPr>
                <w:rFonts w:eastAsia="Work Sans" w:cs="WorkSans-Light"/>
                <w:color w:val="2F3A48"/>
              </w:rPr>
              <w:t>)</w:t>
            </w:r>
          </w:p>
          <w:p w14:paraId="4B03BCDE" w14:textId="77777777" w:rsidR="009D2AB6" w:rsidRPr="000F47C5" w:rsidRDefault="009D2AB6">
            <w:pPr>
              <w:spacing w:before="120" w:after="120"/>
              <w:rPr>
                <w:rFonts w:eastAsia="Work Sans" w:cs="Times New Roman"/>
                <w:color w:val="2F3A48"/>
              </w:rPr>
            </w:pPr>
            <w:r w:rsidRPr="003E22F6">
              <w:rPr>
                <w:rFonts w:eastAsia="Work Sans" w:cs="Times New Roman"/>
                <w:color w:val="2F3A48"/>
              </w:rPr>
              <w:t>NACC Regulations: s 27(a)</w:t>
            </w:r>
          </w:p>
        </w:tc>
      </w:tr>
      <w:tr w:rsidR="009D2AB6" w:rsidRPr="003E22F6" w14:paraId="01D61C23" w14:textId="77777777">
        <w:tc>
          <w:tcPr>
            <w:tcW w:w="671" w:type="dxa"/>
          </w:tcPr>
          <w:p w14:paraId="40CF7AE8" w14:textId="77777777" w:rsidR="009D2AB6" w:rsidRPr="000F47C5" w:rsidRDefault="009D2AB6">
            <w:pPr>
              <w:spacing w:before="120" w:after="120"/>
              <w:rPr>
                <w:rFonts w:eastAsia="Work Sans" w:cs="Times New Roman"/>
                <w:color w:val="2F3A48"/>
              </w:rPr>
            </w:pPr>
            <w:r w:rsidRPr="003E22F6">
              <w:rPr>
                <w:rFonts w:eastAsia="Work Sans" w:cs="Times New Roman"/>
                <w:color w:val="2F3A48"/>
              </w:rPr>
              <w:t>2</w:t>
            </w:r>
          </w:p>
        </w:tc>
        <w:tc>
          <w:tcPr>
            <w:tcW w:w="4858" w:type="dxa"/>
          </w:tcPr>
          <w:p w14:paraId="72AAF8F6" w14:textId="77777777" w:rsidR="009D2AB6" w:rsidRPr="000F47C5" w:rsidRDefault="009D2AB6">
            <w:pPr>
              <w:spacing w:before="120" w:after="120"/>
              <w:rPr>
                <w:rFonts w:eastAsia="Work Sans" w:cs="Times New Roman"/>
                <w:color w:val="2F3A48"/>
              </w:rPr>
            </w:pPr>
            <w:r w:rsidRPr="003E22F6">
              <w:rPr>
                <w:rFonts w:eastAsia="Work Sans" w:cs="Times New Roman"/>
                <w:color w:val="2F3A48"/>
              </w:rPr>
              <w:t>Number of mandatory referrals received</w:t>
            </w:r>
          </w:p>
        </w:tc>
        <w:tc>
          <w:tcPr>
            <w:tcW w:w="3497" w:type="dxa"/>
          </w:tcPr>
          <w:p w14:paraId="241DD7AD" w14:textId="77777777" w:rsidR="009D2AB6" w:rsidRPr="000F47C5" w:rsidRDefault="009D2AB6">
            <w:pPr>
              <w:tabs>
                <w:tab w:val="left" w:pos="113"/>
              </w:tabs>
              <w:suppressAutoHyphens/>
              <w:spacing w:before="120" w:after="120"/>
              <w:textAlignment w:val="center"/>
              <w:rPr>
                <w:rFonts w:eastAsia="Work Sans" w:cs="WorkSans-Light"/>
                <w:color w:val="2F3A48"/>
              </w:rPr>
            </w:pPr>
            <w:r w:rsidRPr="000F47C5">
              <w:rPr>
                <w:rFonts w:eastAsia="Work Sans" w:cs="WorkSans-Light"/>
                <w:color w:val="2F3A48"/>
              </w:rPr>
              <w:t>NACC Act: s 271(2)(a)(</w:t>
            </w:r>
            <w:proofErr w:type="spellStart"/>
            <w:r w:rsidRPr="000F47C5">
              <w:rPr>
                <w:rFonts w:eastAsia="Work Sans" w:cs="WorkSans-Light"/>
                <w:color w:val="2F3A48"/>
              </w:rPr>
              <w:t>i</w:t>
            </w:r>
            <w:proofErr w:type="spellEnd"/>
            <w:r w:rsidRPr="000F47C5">
              <w:rPr>
                <w:rFonts w:eastAsia="Work Sans" w:cs="WorkSans-Light"/>
                <w:color w:val="2F3A48"/>
              </w:rPr>
              <w:t>)</w:t>
            </w:r>
          </w:p>
          <w:p w14:paraId="27E7C750" w14:textId="77777777" w:rsidR="009D2AB6" w:rsidRPr="000F47C5" w:rsidRDefault="009D2AB6">
            <w:pPr>
              <w:spacing w:before="120" w:after="120"/>
              <w:rPr>
                <w:rFonts w:eastAsia="Work Sans" w:cs="Times New Roman"/>
                <w:color w:val="2F3A48"/>
              </w:rPr>
            </w:pPr>
            <w:r w:rsidRPr="003E22F6">
              <w:rPr>
                <w:rFonts w:eastAsia="Work Sans" w:cs="Times New Roman"/>
                <w:color w:val="2F3A48"/>
              </w:rPr>
              <w:t>NACC Regulations: s 27(b)</w:t>
            </w:r>
          </w:p>
        </w:tc>
      </w:tr>
      <w:tr w:rsidR="009D2AB6" w:rsidRPr="003E22F6" w14:paraId="7B2FE41C" w14:textId="77777777">
        <w:trPr>
          <w:cnfStyle w:val="000000100000" w:firstRow="0" w:lastRow="0" w:firstColumn="0" w:lastColumn="0" w:oddVBand="0" w:evenVBand="0" w:oddHBand="1" w:evenHBand="0" w:firstRowFirstColumn="0" w:firstRowLastColumn="0" w:lastRowFirstColumn="0" w:lastRowLastColumn="0"/>
        </w:trPr>
        <w:tc>
          <w:tcPr>
            <w:tcW w:w="671" w:type="dxa"/>
          </w:tcPr>
          <w:p w14:paraId="0E02168D" w14:textId="77777777" w:rsidR="009D2AB6" w:rsidRPr="000F47C5" w:rsidRDefault="009D2AB6">
            <w:pPr>
              <w:spacing w:before="120" w:after="120"/>
              <w:rPr>
                <w:rFonts w:eastAsia="Work Sans" w:cs="Times New Roman"/>
                <w:color w:val="2F3A48"/>
              </w:rPr>
            </w:pPr>
            <w:r w:rsidRPr="003E22F6">
              <w:rPr>
                <w:rFonts w:eastAsia="Work Sans" w:cs="Times New Roman"/>
                <w:color w:val="2F3A48"/>
              </w:rPr>
              <w:lastRenderedPageBreak/>
              <w:t>3</w:t>
            </w:r>
          </w:p>
        </w:tc>
        <w:tc>
          <w:tcPr>
            <w:tcW w:w="4858" w:type="dxa"/>
          </w:tcPr>
          <w:p w14:paraId="0127DCAC" w14:textId="0174E418" w:rsidR="009D2AB6" w:rsidRPr="000F47C5" w:rsidRDefault="009D2AB6">
            <w:pPr>
              <w:spacing w:before="120" w:after="120"/>
              <w:rPr>
                <w:rFonts w:eastAsia="Work Sans" w:cs="Times New Roman"/>
                <w:color w:val="2F3A48"/>
              </w:rPr>
            </w:pPr>
            <w:r w:rsidRPr="003E22F6">
              <w:rPr>
                <w:rFonts w:eastAsia="Work Sans" w:cs="Times New Roman"/>
                <w:color w:val="2F3A48"/>
              </w:rPr>
              <w:t>Total number of corruption issues dealt with (decisions under s</w:t>
            </w:r>
            <w:r w:rsidR="00515B72">
              <w:rPr>
                <w:rFonts w:eastAsia="Work Sans" w:cs="Times New Roman"/>
                <w:color w:val="2F3A48"/>
              </w:rPr>
              <w:t>ub</w:t>
            </w:r>
            <w:r w:rsidR="0063055A">
              <w:rPr>
                <w:rFonts w:eastAsia="Work Sans" w:cs="Times New Roman"/>
                <w:color w:val="2F3A48"/>
              </w:rPr>
              <w:t>-</w:t>
            </w:r>
            <w:r w:rsidR="00515B72">
              <w:rPr>
                <w:rFonts w:eastAsia="Work Sans" w:cs="Times New Roman"/>
                <w:color w:val="2F3A48"/>
              </w:rPr>
              <w:t>ss</w:t>
            </w:r>
            <w:r w:rsidRPr="003E22F6">
              <w:rPr>
                <w:rFonts w:eastAsia="Work Sans" w:cs="Times New Roman"/>
                <w:color w:val="2F3A48"/>
              </w:rPr>
              <w:t xml:space="preserve"> 41(1) and 41(6))</w:t>
            </w:r>
          </w:p>
        </w:tc>
        <w:tc>
          <w:tcPr>
            <w:tcW w:w="3497" w:type="dxa"/>
          </w:tcPr>
          <w:p w14:paraId="71495480" w14:textId="77777777" w:rsidR="009D2AB6" w:rsidRPr="000F47C5" w:rsidRDefault="009D2AB6">
            <w:pPr>
              <w:tabs>
                <w:tab w:val="left" w:pos="113"/>
              </w:tabs>
              <w:suppressAutoHyphens/>
              <w:spacing w:before="120" w:after="120"/>
              <w:textAlignment w:val="center"/>
              <w:rPr>
                <w:rFonts w:eastAsia="Work Sans" w:cs="WorkSans-Light"/>
                <w:color w:val="2F3A48"/>
              </w:rPr>
            </w:pPr>
            <w:r w:rsidRPr="000F47C5">
              <w:rPr>
                <w:rFonts w:eastAsia="Work Sans" w:cs="WorkSans-Light"/>
                <w:color w:val="2F3A48"/>
              </w:rPr>
              <w:t>NACC Act: s 271(2)(a)(ii)</w:t>
            </w:r>
          </w:p>
          <w:p w14:paraId="253B9E2D" w14:textId="77777777" w:rsidR="009D2AB6" w:rsidRPr="000F47C5" w:rsidRDefault="009D2AB6">
            <w:pPr>
              <w:spacing w:before="120" w:after="120"/>
              <w:rPr>
                <w:rFonts w:eastAsia="Work Sans" w:cs="Times New Roman"/>
                <w:color w:val="2F3A48"/>
              </w:rPr>
            </w:pPr>
            <w:r w:rsidRPr="003E22F6">
              <w:rPr>
                <w:rFonts w:eastAsia="Work Sans" w:cs="Times New Roman"/>
                <w:color w:val="2F3A48"/>
              </w:rPr>
              <w:t>NACC Regulations: s 28(1)</w:t>
            </w:r>
          </w:p>
        </w:tc>
      </w:tr>
      <w:tr w:rsidR="009D2AB6" w:rsidRPr="003E22F6" w14:paraId="25F19E4D" w14:textId="77777777">
        <w:tc>
          <w:tcPr>
            <w:tcW w:w="671" w:type="dxa"/>
          </w:tcPr>
          <w:p w14:paraId="774EF61D" w14:textId="77777777" w:rsidR="009D2AB6" w:rsidRPr="000F47C5" w:rsidRDefault="009D2AB6">
            <w:pPr>
              <w:spacing w:before="120" w:after="120"/>
              <w:rPr>
                <w:rFonts w:eastAsia="Work Sans" w:cs="Times New Roman"/>
                <w:color w:val="2F3A48"/>
              </w:rPr>
            </w:pPr>
            <w:r w:rsidRPr="003E22F6">
              <w:rPr>
                <w:rFonts w:eastAsia="Work Sans" w:cs="Times New Roman"/>
                <w:color w:val="2F3A48"/>
              </w:rPr>
              <w:t>4</w:t>
            </w:r>
          </w:p>
        </w:tc>
        <w:tc>
          <w:tcPr>
            <w:tcW w:w="4858" w:type="dxa"/>
          </w:tcPr>
          <w:p w14:paraId="2B449EC3" w14:textId="77777777" w:rsidR="009D2AB6" w:rsidRPr="000F47C5" w:rsidRDefault="009D2AB6">
            <w:pPr>
              <w:spacing w:before="120" w:after="120"/>
              <w:rPr>
                <w:rFonts w:eastAsia="Work Sans" w:cs="Times New Roman"/>
                <w:color w:val="2F3A48"/>
              </w:rPr>
            </w:pPr>
            <w:r w:rsidRPr="003E22F6">
              <w:rPr>
                <w:rFonts w:eastAsia="Work Sans" w:cs="Times New Roman"/>
                <w:color w:val="2F3A48"/>
              </w:rPr>
              <w:t>Number of corruption issues investigated by the Commission (decisions under s 41(1)(a))</w:t>
            </w:r>
          </w:p>
        </w:tc>
        <w:tc>
          <w:tcPr>
            <w:tcW w:w="3497" w:type="dxa"/>
          </w:tcPr>
          <w:p w14:paraId="028B6BCC" w14:textId="77777777" w:rsidR="009D2AB6" w:rsidRPr="000F47C5" w:rsidRDefault="009D2AB6">
            <w:pPr>
              <w:tabs>
                <w:tab w:val="left" w:pos="113"/>
              </w:tabs>
              <w:suppressAutoHyphens/>
              <w:spacing w:before="120" w:after="120"/>
              <w:textAlignment w:val="center"/>
              <w:rPr>
                <w:rFonts w:eastAsia="Work Sans" w:cs="WorkSans-Light"/>
                <w:color w:val="2F3A48"/>
              </w:rPr>
            </w:pPr>
            <w:r w:rsidRPr="000F47C5">
              <w:rPr>
                <w:rFonts w:eastAsia="Work Sans" w:cs="WorkSans-Light"/>
                <w:color w:val="2F3A48"/>
              </w:rPr>
              <w:t>NACC Act: s 271(2)(a)(ii)</w:t>
            </w:r>
          </w:p>
          <w:p w14:paraId="39B31321" w14:textId="42F42103" w:rsidR="009D2AB6" w:rsidRPr="000F47C5" w:rsidRDefault="009D2AB6">
            <w:pPr>
              <w:spacing w:before="120" w:after="120"/>
              <w:rPr>
                <w:rFonts w:eastAsia="Work Sans" w:cs="Times New Roman"/>
                <w:color w:val="2F3A48"/>
              </w:rPr>
            </w:pPr>
            <w:r w:rsidRPr="003E22F6">
              <w:rPr>
                <w:rFonts w:eastAsia="Work Sans" w:cs="Times New Roman"/>
                <w:color w:val="2F3A48"/>
              </w:rPr>
              <w:t>NACC Regulations: s</w:t>
            </w:r>
            <w:r w:rsidR="00515B72">
              <w:rPr>
                <w:rFonts w:eastAsia="Work Sans" w:cs="Times New Roman"/>
                <w:color w:val="2F3A48"/>
              </w:rPr>
              <w:t> </w:t>
            </w:r>
            <w:r w:rsidRPr="003E22F6">
              <w:rPr>
                <w:rFonts w:eastAsia="Work Sans" w:cs="Times New Roman"/>
                <w:color w:val="2F3A48"/>
              </w:rPr>
              <w:t>28(2)(a)</w:t>
            </w:r>
          </w:p>
        </w:tc>
      </w:tr>
      <w:tr w:rsidR="009D2AB6" w:rsidRPr="003E22F6" w14:paraId="52F8DD30" w14:textId="77777777">
        <w:trPr>
          <w:cnfStyle w:val="000000100000" w:firstRow="0" w:lastRow="0" w:firstColumn="0" w:lastColumn="0" w:oddVBand="0" w:evenVBand="0" w:oddHBand="1" w:evenHBand="0" w:firstRowFirstColumn="0" w:firstRowLastColumn="0" w:lastRowFirstColumn="0" w:lastRowLastColumn="0"/>
        </w:trPr>
        <w:tc>
          <w:tcPr>
            <w:tcW w:w="671" w:type="dxa"/>
          </w:tcPr>
          <w:p w14:paraId="4152BB20" w14:textId="77777777" w:rsidR="009D2AB6" w:rsidRPr="000F47C5" w:rsidRDefault="009D2AB6">
            <w:pPr>
              <w:spacing w:before="120" w:after="120"/>
              <w:rPr>
                <w:rFonts w:eastAsia="Work Sans" w:cs="Times New Roman"/>
                <w:color w:val="2F3A48"/>
              </w:rPr>
            </w:pPr>
            <w:r w:rsidRPr="003E22F6">
              <w:rPr>
                <w:rFonts w:eastAsia="Work Sans" w:cs="Times New Roman"/>
                <w:color w:val="2F3A48"/>
              </w:rPr>
              <w:t>5</w:t>
            </w:r>
          </w:p>
        </w:tc>
        <w:tc>
          <w:tcPr>
            <w:tcW w:w="4858" w:type="dxa"/>
          </w:tcPr>
          <w:p w14:paraId="1DE19B96" w14:textId="77777777" w:rsidR="009D2AB6" w:rsidRPr="000F47C5" w:rsidRDefault="009D2AB6">
            <w:pPr>
              <w:spacing w:before="120" w:after="120"/>
              <w:rPr>
                <w:rFonts w:eastAsia="Work Sans" w:cs="Times New Roman"/>
                <w:color w:val="2F3A48"/>
              </w:rPr>
            </w:pPr>
            <w:r w:rsidRPr="003E22F6">
              <w:rPr>
                <w:rFonts w:eastAsia="Work Sans" w:cs="Times New Roman"/>
                <w:color w:val="2F3A48"/>
              </w:rPr>
              <w:t>Number of corruption issues investigated jointly by the Commission and a Commonwealth agency or a state or territory government entity (decisions under s 41(1)(b))</w:t>
            </w:r>
          </w:p>
        </w:tc>
        <w:tc>
          <w:tcPr>
            <w:tcW w:w="3497" w:type="dxa"/>
          </w:tcPr>
          <w:p w14:paraId="731A7E9D" w14:textId="77777777" w:rsidR="009D2AB6" w:rsidRPr="000F47C5" w:rsidRDefault="009D2AB6">
            <w:pPr>
              <w:tabs>
                <w:tab w:val="left" w:pos="113"/>
              </w:tabs>
              <w:suppressAutoHyphens/>
              <w:spacing w:before="120" w:after="120"/>
              <w:textAlignment w:val="center"/>
              <w:rPr>
                <w:rFonts w:eastAsia="Work Sans" w:cs="WorkSans-Light"/>
                <w:color w:val="2F3A48"/>
              </w:rPr>
            </w:pPr>
            <w:r w:rsidRPr="000F47C5">
              <w:rPr>
                <w:rFonts w:eastAsia="Work Sans" w:cs="WorkSans-Light"/>
                <w:color w:val="2F3A48"/>
              </w:rPr>
              <w:t>NACC Act: s 271(2)(a)(ii)</w:t>
            </w:r>
          </w:p>
          <w:p w14:paraId="5A7844EB" w14:textId="15252A65" w:rsidR="009D2AB6" w:rsidRPr="000F47C5" w:rsidRDefault="009D2AB6">
            <w:pPr>
              <w:spacing w:before="120" w:after="120"/>
              <w:rPr>
                <w:rFonts w:eastAsia="Work Sans" w:cs="Times New Roman"/>
                <w:color w:val="2F3A48"/>
              </w:rPr>
            </w:pPr>
            <w:r w:rsidRPr="003E22F6">
              <w:rPr>
                <w:rFonts w:eastAsia="Work Sans" w:cs="Times New Roman"/>
                <w:color w:val="2F3A48"/>
              </w:rPr>
              <w:t>NACC Regulations: s</w:t>
            </w:r>
            <w:r w:rsidR="00362E00">
              <w:rPr>
                <w:rFonts w:eastAsia="Work Sans" w:cs="Times New Roman"/>
                <w:color w:val="2F3A48"/>
              </w:rPr>
              <w:t> </w:t>
            </w:r>
            <w:r w:rsidRPr="003E22F6">
              <w:rPr>
                <w:rFonts w:eastAsia="Work Sans" w:cs="Times New Roman"/>
                <w:color w:val="2F3A48"/>
              </w:rPr>
              <w:t>28(2)(b)</w:t>
            </w:r>
          </w:p>
        </w:tc>
      </w:tr>
      <w:tr w:rsidR="009D2AB6" w:rsidRPr="003E22F6" w14:paraId="1F05D210" w14:textId="77777777">
        <w:tc>
          <w:tcPr>
            <w:tcW w:w="671" w:type="dxa"/>
          </w:tcPr>
          <w:p w14:paraId="304A50E8" w14:textId="77777777" w:rsidR="009D2AB6" w:rsidRPr="000F47C5" w:rsidRDefault="009D2AB6">
            <w:pPr>
              <w:spacing w:before="120" w:after="120"/>
              <w:rPr>
                <w:rFonts w:eastAsia="Work Sans" w:cs="Times New Roman"/>
                <w:color w:val="2F3A48"/>
              </w:rPr>
            </w:pPr>
            <w:r w:rsidRPr="003E22F6">
              <w:rPr>
                <w:rFonts w:eastAsia="Work Sans" w:cs="Times New Roman"/>
                <w:color w:val="2F3A48"/>
              </w:rPr>
              <w:t>6</w:t>
            </w:r>
          </w:p>
        </w:tc>
        <w:tc>
          <w:tcPr>
            <w:tcW w:w="4858" w:type="dxa"/>
          </w:tcPr>
          <w:p w14:paraId="2E0E9F49" w14:textId="0F68DFD6" w:rsidR="009D2AB6" w:rsidRPr="000F47C5" w:rsidRDefault="009D2AB6">
            <w:pPr>
              <w:spacing w:before="120" w:after="120"/>
              <w:rPr>
                <w:rFonts w:eastAsia="Work Sans" w:cs="Times New Roman"/>
                <w:color w:val="2F3A48"/>
              </w:rPr>
            </w:pPr>
            <w:r w:rsidRPr="003E22F6">
              <w:rPr>
                <w:rFonts w:eastAsia="Work Sans" w:cs="Times New Roman"/>
                <w:color w:val="2F3A48"/>
              </w:rPr>
              <w:t>Number of corruption issues referred to a Commonwealth agency for investigation (decisions under s</w:t>
            </w:r>
            <w:r w:rsidR="00362E00">
              <w:rPr>
                <w:rFonts w:eastAsia="Work Sans" w:cs="Times New Roman"/>
                <w:color w:val="2F3A48"/>
              </w:rPr>
              <w:t> </w:t>
            </w:r>
            <w:r w:rsidRPr="003E22F6">
              <w:rPr>
                <w:rFonts w:eastAsia="Work Sans" w:cs="Times New Roman"/>
                <w:color w:val="2F3A48"/>
              </w:rPr>
              <w:t>41(1)(c))</w:t>
            </w:r>
          </w:p>
        </w:tc>
        <w:tc>
          <w:tcPr>
            <w:tcW w:w="3497" w:type="dxa"/>
          </w:tcPr>
          <w:p w14:paraId="0201868B" w14:textId="77777777" w:rsidR="009D2AB6" w:rsidRPr="000F47C5" w:rsidRDefault="009D2AB6">
            <w:pPr>
              <w:tabs>
                <w:tab w:val="left" w:pos="113"/>
              </w:tabs>
              <w:suppressAutoHyphens/>
              <w:spacing w:before="120" w:after="120"/>
              <w:textAlignment w:val="center"/>
              <w:rPr>
                <w:rFonts w:eastAsia="Work Sans" w:cs="WorkSans-Light"/>
                <w:color w:val="2F3A48"/>
              </w:rPr>
            </w:pPr>
            <w:r w:rsidRPr="000F47C5">
              <w:rPr>
                <w:rFonts w:eastAsia="Work Sans" w:cs="WorkSans-Light"/>
                <w:color w:val="2F3A48"/>
              </w:rPr>
              <w:t>NACC Act: s 271(2)(a)(ii)</w:t>
            </w:r>
          </w:p>
          <w:p w14:paraId="0F933FDE" w14:textId="6989B248" w:rsidR="009D2AB6" w:rsidRPr="000F47C5" w:rsidRDefault="009D2AB6">
            <w:pPr>
              <w:spacing w:before="120" w:after="120"/>
              <w:rPr>
                <w:rFonts w:eastAsia="Work Sans" w:cs="Times New Roman"/>
                <w:color w:val="2F3A48"/>
              </w:rPr>
            </w:pPr>
            <w:r w:rsidRPr="003E22F6">
              <w:rPr>
                <w:rFonts w:eastAsia="Work Sans" w:cs="Times New Roman"/>
                <w:color w:val="2F3A48"/>
              </w:rPr>
              <w:t>NACC Regulations: s</w:t>
            </w:r>
            <w:r w:rsidR="00362E00">
              <w:rPr>
                <w:rFonts w:eastAsia="Work Sans" w:cs="Times New Roman"/>
                <w:color w:val="2F3A48"/>
              </w:rPr>
              <w:t> </w:t>
            </w:r>
            <w:r w:rsidRPr="003E22F6">
              <w:rPr>
                <w:rFonts w:eastAsia="Work Sans" w:cs="Times New Roman"/>
                <w:color w:val="2F3A48"/>
              </w:rPr>
              <w:t>28(2)(c)</w:t>
            </w:r>
          </w:p>
        </w:tc>
      </w:tr>
      <w:tr w:rsidR="009D2AB6" w:rsidRPr="003E22F6" w14:paraId="2CFFF83C" w14:textId="77777777">
        <w:trPr>
          <w:cnfStyle w:val="000000100000" w:firstRow="0" w:lastRow="0" w:firstColumn="0" w:lastColumn="0" w:oddVBand="0" w:evenVBand="0" w:oddHBand="1" w:evenHBand="0" w:firstRowFirstColumn="0" w:firstRowLastColumn="0" w:lastRowFirstColumn="0" w:lastRowLastColumn="0"/>
        </w:trPr>
        <w:tc>
          <w:tcPr>
            <w:tcW w:w="671" w:type="dxa"/>
          </w:tcPr>
          <w:p w14:paraId="3D5872F3" w14:textId="77777777" w:rsidR="009D2AB6" w:rsidRPr="000F47C5" w:rsidRDefault="009D2AB6">
            <w:pPr>
              <w:spacing w:before="120" w:after="120"/>
              <w:rPr>
                <w:rFonts w:eastAsia="Work Sans" w:cs="Times New Roman"/>
                <w:color w:val="2F3A48"/>
              </w:rPr>
            </w:pPr>
            <w:r w:rsidRPr="003E22F6">
              <w:rPr>
                <w:rFonts w:eastAsia="Work Sans" w:cs="Times New Roman"/>
                <w:color w:val="2F3A48"/>
              </w:rPr>
              <w:t>7</w:t>
            </w:r>
          </w:p>
        </w:tc>
        <w:tc>
          <w:tcPr>
            <w:tcW w:w="4858" w:type="dxa"/>
          </w:tcPr>
          <w:p w14:paraId="053EA488" w14:textId="6EA8D3EE" w:rsidR="009D2AB6" w:rsidRPr="000F47C5" w:rsidRDefault="009D2AB6">
            <w:pPr>
              <w:spacing w:before="120" w:after="120"/>
              <w:rPr>
                <w:rFonts w:eastAsia="Work Sans" w:cs="Times New Roman"/>
                <w:color w:val="2F3A48"/>
              </w:rPr>
            </w:pPr>
            <w:r w:rsidRPr="003E22F6">
              <w:rPr>
                <w:rFonts w:eastAsia="Work Sans" w:cs="Times New Roman"/>
                <w:color w:val="2F3A48"/>
              </w:rPr>
              <w:t>Number of corruption Issues referred to a Commonwealth agency or a state or territory government entity for consideration (decisions under s</w:t>
            </w:r>
            <w:r w:rsidR="0054351F">
              <w:rPr>
                <w:rFonts w:eastAsia="Work Sans" w:cs="Times New Roman"/>
                <w:color w:val="2F3A48"/>
              </w:rPr>
              <w:t> </w:t>
            </w:r>
            <w:r w:rsidRPr="003E22F6">
              <w:rPr>
                <w:rFonts w:eastAsia="Work Sans" w:cs="Times New Roman"/>
                <w:color w:val="2F3A48"/>
              </w:rPr>
              <w:t>41(1)(d))</w:t>
            </w:r>
          </w:p>
        </w:tc>
        <w:tc>
          <w:tcPr>
            <w:tcW w:w="3497" w:type="dxa"/>
          </w:tcPr>
          <w:p w14:paraId="4F3A9720" w14:textId="77777777" w:rsidR="009D2AB6" w:rsidRPr="000F47C5" w:rsidRDefault="009D2AB6">
            <w:pPr>
              <w:tabs>
                <w:tab w:val="left" w:pos="113"/>
              </w:tabs>
              <w:suppressAutoHyphens/>
              <w:spacing w:before="120" w:after="120"/>
              <w:textAlignment w:val="center"/>
              <w:rPr>
                <w:rFonts w:eastAsia="Work Sans" w:cs="WorkSans-Light"/>
                <w:color w:val="2F3A48"/>
              </w:rPr>
            </w:pPr>
            <w:r w:rsidRPr="000F47C5">
              <w:rPr>
                <w:rFonts w:eastAsia="Work Sans" w:cs="WorkSans-Light"/>
                <w:color w:val="2F3A48"/>
              </w:rPr>
              <w:t>NACC Act: s 271(2)(a)(ii)</w:t>
            </w:r>
          </w:p>
          <w:p w14:paraId="15C4766D" w14:textId="1720F410" w:rsidR="009D2AB6" w:rsidRPr="000F47C5" w:rsidRDefault="009D2AB6">
            <w:pPr>
              <w:spacing w:before="120" w:after="120"/>
              <w:rPr>
                <w:rFonts w:eastAsia="Work Sans" w:cs="Times New Roman"/>
                <w:color w:val="2F3A48"/>
              </w:rPr>
            </w:pPr>
            <w:r w:rsidRPr="003E22F6">
              <w:rPr>
                <w:rFonts w:eastAsia="Work Sans" w:cs="Times New Roman"/>
                <w:color w:val="2F3A48"/>
              </w:rPr>
              <w:t>NACC Regulations: s</w:t>
            </w:r>
            <w:r w:rsidR="0054351F">
              <w:rPr>
                <w:rFonts w:eastAsia="Work Sans" w:cs="Times New Roman"/>
                <w:color w:val="2F3A48"/>
              </w:rPr>
              <w:t> </w:t>
            </w:r>
            <w:r w:rsidRPr="003E22F6">
              <w:rPr>
                <w:rFonts w:eastAsia="Work Sans" w:cs="Times New Roman"/>
                <w:color w:val="2F3A48"/>
              </w:rPr>
              <w:t>28(2)(d)</w:t>
            </w:r>
          </w:p>
        </w:tc>
      </w:tr>
      <w:tr w:rsidR="009D2AB6" w:rsidRPr="003E22F6" w14:paraId="75E78319" w14:textId="77777777">
        <w:tc>
          <w:tcPr>
            <w:tcW w:w="671" w:type="dxa"/>
          </w:tcPr>
          <w:p w14:paraId="72E2D7F5"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8</w:t>
            </w:r>
          </w:p>
        </w:tc>
        <w:tc>
          <w:tcPr>
            <w:tcW w:w="4858" w:type="dxa"/>
          </w:tcPr>
          <w:p w14:paraId="0383BAC2"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Number of corruption issues where the decision is to take no action (decisions under s 41(6))</w:t>
            </w:r>
          </w:p>
        </w:tc>
        <w:tc>
          <w:tcPr>
            <w:tcW w:w="3497" w:type="dxa"/>
          </w:tcPr>
          <w:p w14:paraId="6FA0558D" w14:textId="77777777" w:rsidR="009D2AB6" w:rsidRPr="000F47C5" w:rsidRDefault="009D2AB6">
            <w:pPr>
              <w:tabs>
                <w:tab w:val="left" w:pos="113"/>
              </w:tabs>
              <w:suppressAutoHyphens/>
              <w:spacing w:before="120" w:after="120"/>
              <w:textAlignment w:val="center"/>
              <w:rPr>
                <w:rFonts w:eastAsia="Work Sans" w:cs="WorkSans-Light"/>
                <w:color w:val="2F3A48"/>
              </w:rPr>
            </w:pPr>
            <w:r w:rsidRPr="000F47C5">
              <w:rPr>
                <w:rFonts w:eastAsia="Work Sans" w:cs="WorkSans-Light"/>
                <w:color w:val="2F3A48"/>
              </w:rPr>
              <w:t>NACC Act: s 271(2)(a)(ii)</w:t>
            </w:r>
          </w:p>
          <w:p w14:paraId="74FF0173" w14:textId="6DD1FFF3"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Regulations: s</w:t>
            </w:r>
            <w:r w:rsidR="0054351F">
              <w:rPr>
                <w:rFonts w:eastAsia="Times New Roman" w:cs="Times New Roman"/>
                <w:color w:val="2F3A48"/>
                <w:lang w:eastAsia="en-GB"/>
              </w:rPr>
              <w:t> </w:t>
            </w:r>
            <w:r w:rsidRPr="003E22F6">
              <w:rPr>
                <w:rFonts w:eastAsia="Times New Roman" w:cs="Times New Roman"/>
                <w:color w:val="2F3A48"/>
                <w:lang w:eastAsia="en-GB"/>
              </w:rPr>
              <w:t>28(2)(e)</w:t>
            </w:r>
          </w:p>
        </w:tc>
      </w:tr>
      <w:tr w:rsidR="009D2AB6" w:rsidRPr="003E22F6" w14:paraId="43FFC044" w14:textId="77777777">
        <w:trPr>
          <w:cnfStyle w:val="000000100000" w:firstRow="0" w:lastRow="0" w:firstColumn="0" w:lastColumn="0" w:oddVBand="0" w:evenVBand="0" w:oddHBand="1" w:evenHBand="0" w:firstRowFirstColumn="0" w:firstRowLastColumn="0" w:lastRowFirstColumn="0" w:lastRowLastColumn="0"/>
        </w:trPr>
        <w:tc>
          <w:tcPr>
            <w:tcW w:w="671" w:type="dxa"/>
          </w:tcPr>
          <w:p w14:paraId="4D9D4CB1"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9</w:t>
            </w:r>
          </w:p>
        </w:tc>
        <w:tc>
          <w:tcPr>
            <w:tcW w:w="4858" w:type="dxa"/>
          </w:tcPr>
          <w:p w14:paraId="269410D2"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 xml:space="preserve">Number of s 41(2) investigations completed </w:t>
            </w:r>
          </w:p>
        </w:tc>
        <w:tc>
          <w:tcPr>
            <w:tcW w:w="3497" w:type="dxa"/>
          </w:tcPr>
          <w:p w14:paraId="19561F0F" w14:textId="77777777" w:rsidR="009D2AB6" w:rsidRPr="000F47C5" w:rsidRDefault="009D2AB6">
            <w:pPr>
              <w:tabs>
                <w:tab w:val="left" w:pos="113"/>
              </w:tabs>
              <w:suppressAutoHyphens/>
              <w:spacing w:before="120" w:after="120"/>
              <w:textAlignment w:val="center"/>
              <w:rPr>
                <w:rFonts w:eastAsia="Work Sans" w:cs="WorkSans-Light"/>
                <w:color w:val="2F3A48"/>
              </w:rPr>
            </w:pPr>
            <w:r w:rsidRPr="000F47C5">
              <w:rPr>
                <w:rFonts w:eastAsia="Work Sans" w:cs="WorkSans-Light"/>
                <w:color w:val="2F3A48"/>
              </w:rPr>
              <w:t>NACC Act: s 271(2)(a)(iii)</w:t>
            </w:r>
          </w:p>
          <w:p w14:paraId="17F242F7" w14:textId="77777777"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Regulations: s 29(a)</w:t>
            </w:r>
          </w:p>
        </w:tc>
      </w:tr>
      <w:tr w:rsidR="009D2AB6" w:rsidRPr="003E22F6" w14:paraId="56867744" w14:textId="77777777">
        <w:tc>
          <w:tcPr>
            <w:tcW w:w="671" w:type="dxa"/>
          </w:tcPr>
          <w:p w14:paraId="457FD5EE"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lastRenderedPageBreak/>
              <w:t>10</w:t>
            </w:r>
          </w:p>
        </w:tc>
        <w:tc>
          <w:tcPr>
            <w:tcW w:w="4858" w:type="dxa"/>
          </w:tcPr>
          <w:p w14:paraId="543EF482"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Number of s 41(2) investigations ongoing at the end of the reporting period (including any commenced prior to the reporting period)</w:t>
            </w:r>
          </w:p>
        </w:tc>
        <w:tc>
          <w:tcPr>
            <w:tcW w:w="3497" w:type="dxa"/>
          </w:tcPr>
          <w:p w14:paraId="0E371265" w14:textId="77777777" w:rsidR="009D2AB6" w:rsidRPr="000F47C5" w:rsidRDefault="009D2AB6">
            <w:pPr>
              <w:tabs>
                <w:tab w:val="left" w:pos="113"/>
              </w:tabs>
              <w:suppressAutoHyphens/>
              <w:spacing w:before="120" w:after="120"/>
              <w:textAlignment w:val="center"/>
              <w:rPr>
                <w:rFonts w:eastAsia="Work Sans" w:cs="WorkSans-Light"/>
                <w:color w:val="2F3A48"/>
              </w:rPr>
            </w:pPr>
            <w:r w:rsidRPr="000F47C5">
              <w:rPr>
                <w:rFonts w:eastAsia="Work Sans" w:cs="WorkSans-Light"/>
                <w:color w:val="2F3A48"/>
              </w:rPr>
              <w:t>NACC Act: s 271(2)(a)(iii)</w:t>
            </w:r>
          </w:p>
          <w:p w14:paraId="71C96722" w14:textId="77777777"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Regulations: s 29(b)</w:t>
            </w:r>
          </w:p>
        </w:tc>
      </w:tr>
      <w:tr w:rsidR="009D2AB6" w:rsidRPr="003E22F6" w14:paraId="3AAED5F6" w14:textId="77777777">
        <w:trPr>
          <w:cnfStyle w:val="000000100000" w:firstRow="0" w:lastRow="0" w:firstColumn="0" w:lastColumn="0" w:oddVBand="0" w:evenVBand="0" w:oddHBand="1" w:evenHBand="0" w:firstRowFirstColumn="0" w:firstRowLastColumn="0" w:lastRowFirstColumn="0" w:lastRowLastColumn="0"/>
        </w:trPr>
        <w:tc>
          <w:tcPr>
            <w:tcW w:w="671" w:type="dxa"/>
          </w:tcPr>
          <w:p w14:paraId="7F9A458A"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11</w:t>
            </w:r>
          </w:p>
        </w:tc>
        <w:tc>
          <w:tcPr>
            <w:tcW w:w="4858" w:type="dxa"/>
          </w:tcPr>
          <w:p w14:paraId="5C6AB72B" w14:textId="5A760FE4" w:rsidR="009D2AB6" w:rsidRPr="003E22F6" w:rsidRDefault="009D2AB6">
            <w:pPr>
              <w:spacing w:before="120" w:after="120"/>
              <w:rPr>
                <w:rFonts w:eastAsia="Work Sans" w:cs="Times New Roman"/>
                <w:color w:val="2F3A48"/>
              </w:rPr>
            </w:pPr>
            <w:r w:rsidRPr="003E22F6">
              <w:rPr>
                <w:rFonts w:eastAsia="Work Sans" w:cs="Times New Roman"/>
                <w:color w:val="2F3A48"/>
              </w:rPr>
              <w:t>Number of corruption issues referred to a Commonwealth agency for investigation (decisions under s</w:t>
            </w:r>
            <w:r w:rsidR="0054351F">
              <w:rPr>
                <w:rFonts w:eastAsia="Work Sans" w:cs="Times New Roman"/>
                <w:color w:val="2F3A48"/>
              </w:rPr>
              <w:t> </w:t>
            </w:r>
            <w:r w:rsidRPr="003E22F6">
              <w:rPr>
                <w:rFonts w:eastAsia="Work Sans" w:cs="Times New Roman"/>
                <w:color w:val="2F3A48"/>
              </w:rPr>
              <w:t>41(1)(c)), that were referred, investigated and completed during the reporting period</w:t>
            </w:r>
          </w:p>
        </w:tc>
        <w:tc>
          <w:tcPr>
            <w:tcW w:w="3497" w:type="dxa"/>
          </w:tcPr>
          <w:p w14:paraId="0501C62A" w14:textId="77777777" w:rsidR="009D2AB6" w:rsidRPr="000F47C5" w:rsidRDefault="009D2AB6">
            <w:pPr>
              <w:tabs>
                <w:tab w:val="left" w:pos="113"/>
              </w:tabs>
              <w:suppressAutoHyphens/>
              <w:spacing w:before="120" w:after="120"/>
              <w:textAlignment w:val="center"/>
              <w:rPr>
                <w:rFonts w:eastAsia="Work Sans" w:cs="WorkSans-Light"/>
                <w:color w:val="2F3A48"/>
              </w:rPr>
            </w:pPr>
            <w:r w:rsidRPr="000F47C5">
              <w:rPr>
                <w:rFonts w:eastAsia="Work Sans" w:cs="WorkSans-Light"/>
                <w:color w:val="2F3A48"/>
              </w:rPr>
              <w:t>NACC Act: s 271(2)(a)(iv)</w:t>
            </w:r>
          </w:p>
          <w:p w14:paraId="301BEF0F" w14:textId="77777777"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Regulations: s 30(a)</w:t>
            </w:r>
          </w:p>
        </w:tc>
      </w:tr>
      <w:tr w:rsidR="009D2AB6" w:rsidRPr="003E22F6" w14:paraId="441AEB22" w14:textId="77777777">
        <w:tc>
          <w:tcPr>
            <w:tcW w:w="671" w:type="dxa"/>
          </w:tcPr>
          <w:p w14:paraId="60530B18"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12</w:t>
            </w:r>
          </w:p>
        </w:tc>
        <w:tc>
          <w:tcPr>
            <w:tcW w:w="4858" w:type="dxa"/>
          </w:tcPr>
          <w:p w14:paraId="6CDD718E" w14:textId="2695BF84" w:rsidR="009D2AB6" w:rsidRPr="003E22F6" w:rsidRDefault="009D2AB6">
            <w:pPr>
              <w:spacing w:before="120" w:after="120"/>
              <w:rPr>
                <w:rFonts w:eastAsia="Work Sans" w:cs="Times New Roman"/>
                <w:color w:val="2F3A48"/>
              </w:rPr>
            </w:pPr>
            <w:r w:rsidRPr="003E22F6">
              <w:rPr>
                <w:rFonts w:eastAsia="Work Sans" w:cs="Times New Roman"/>
                <w:color w:val="2F3A48"/>
              </w:rPr>
              <w:t>Number of corruption issues referred to a Commonwealth agency for investigation (decisions under s</w:t>
            </w:r>
            <w:r w:rsidR="0054351F">
              <w:rPr>
                <w:rFonts w:eastAsia="Work Sans" w:cs="Times New Roman"/>
                <w:color w:val="2F3A48"/>
              </w:rPr>
              <w:t> </w:t>
            </w:r>
            <w:r w:rsidRPr="003E22F6">
              <w:rPr>
                <w:rFonts w:eastAsia="Work Sans" w:cs="Times New Roman"/>
                <w:color w:val="2F3A48"/>
              </w:rPr>
              <w:t xml:space="preserve">41(1)(c)) where there is oversight by the Commissioner </w:t>
            </w:r>
          </w:p>
        </w:tc>
        <w:tc>
          <w:tcPr>
            <w:tcW w:w="3497" w:type="dxa"/>
          </w:tcPr>
          <w:p w14:paraId="065A4CA0" w14:textId="77777777" w:rsidR="009D2AB6" w:rsidRPr="000F47C5" w:rsidRDefault="009D2AB6">
            <w:pPr>
              <w:tabs>
                <w:tab w:val="left" w:pos="113"/>
              </w:tabs>
              <w:suppressAutoHyphens/>
              <w:spacing w:before="120" w:after="120"/>
              <w:textAlignment w:val="center"/>
              <w:rPr>
                <w:rFonts w:eastAsia="Work Sans" w:cs="WorkSans-Light"/>
                <w:color w:val="2F3A48"/>
              </w:rPr>
            </w:pPr>
            <w:r w:rsidRPr="000F47C5">
              <w:rPr>
                <w:rFonts w:eastAsia="Work Sans" w:cs="WorkSans-Light"/>
                <w:color w:val="2F3A48"/>
              </w:rPr>
              <w:t>NACC Act: s 271(2)(a)(iv)</w:t>
            </w:r>
          </w:p>
          <w:p w14:paraId="513A494D" w14:textId="77777777"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Regulations: s 30(b)</w:t>
            </w:r>
          </w:p>
        </w:tc>
      </w:tr>
      <w:tr w:rsidR="009D2AB6" w:rsidRPr="003E22F6" w14:paraId="7F0057AA" w14:textId="77777777">
        <w:trPr>
          <w:cnfStyle w:val="000000100000" w:firstRow="0" w:lastRow="0" w:firstColumn="0" w:lastColumn="0" w:oddVBand="0" w:evenVBand="0" w:oddHBand="1" w:evenHBand="0" w:firstRowFirstColumn="0" w:firstRowLastColumn="0" w:lastRowFirstColumn="0" w:lastRowLastColumn="0"/>
        </w:trPr>
        <w:tc>
          <w:tcPr>
            <w:tcW w:w="671" w:type="dxa"/>
          </w:tcPr>
          <w:p w14:paraId="57BB6139"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13</w:t>
            </w:r>
          </w:p>
        </w:tc>
        <w:tc>
          <w:tcPr>
            <w:tcW w:w="4858" w:type="dxa"/>
          </w:tcPr>
          <w:p w14:paraId="4A8DBACC"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 xml:space="preserve">Number of public inquiries completed </w:t>
            </w:r>
          </w:p>
        </w:tc>
        <w:tc>
          <w:tcPr>
            <w:tcW w:w="3497" w:type="dxa"/>
          </w:tcPr>
          <w:p w14:paraId="3A43FDF3" w14:textId="77777777" w:rsidR="009D2AB6" w:rsidRPr="000F47C5" w:rsidRDefault="009D2AB6">
            <w:pPr>
              <w:tabs>
                <w:tab w:val="left" w:pos="113"/>
              </w:tabs>
              <w:suppressAutoHyphens/>
              <w:spacing w:before="120" w:after="120"/>
              <w:textAlignment w:val="center"/>
              <w:rPr>
                <w:rFonts w:eastAsia="Work Sans" w:cs="WorkSans-Light"/>
                <w:color w:val="2F3A48"/>
              </w:rPr>
            </w:pPr>
            <w:r w:rsidRPr="000F47C5">
              <w:rPr>
                <w:rFonts w:eastAsia="Work Sans" w:cs="WorkSans-Light"/>
                <w:color w:val="2F3A48"/>
              </w:rPr>
              <w:t>NACC Act: s 271(2)(a)(v)</w:t>
            </w:r>
          </w:p>
          <w:p w14:paraId="5D7224F3" w14:textId="77777777"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Regulations: s 31(1)(a)</w:t>
            </w:r>
          </w:p>
        </w:tc>
      </w:tr>
      <w:tr w:rsidR="009D2AB6" w:rsidRPr="003E22F6" w14:paraId="0161FF58" w14:textId="77777777">
        <w:tc>
          <w:tcPr>
            <w:tcW w:w="671" w:type="dxa"/>
          </w:tcPr>
          <w:p w14:paraId="4B300959"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14</w:t>
            </w:r>
          </w:p>
        </w:tc>
        <w:tc>
          <w:tcPr>
            <w:tcW w:w="4858" w:type="dxa"/>
          </w:tcPr>
          <w:p w14:paraId="0CE36717"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Number of public inquiries ongoing at the end of the reporting period (including any commenced prior to the reporting period)</w:t>
            </w:r>
          </w:p>
        </w:tc>
        <w:tc>
          <w:tcPr>
            <w:tcW w:w="3497" w:type="dxa"/>
          </w:tcPr>
          <w:p w14:paraId="0AF682F9" w14:textId="77777777" w:rsidR="009D2AB6" w:rsidRPr="000F47C5" w:rsidRDefault="009D2AB6">
            <w:pPr>
              <w:tabs>
                <w:tab w:val="left" w:pos="113"/>
              </w:tabs>
              <w:suppressAutoHyphens/>
              <w:spacing w:before="120" w:after="120"/>
              <w:textAlignment w:val="center"/>
              <w:rPr>
                <w:rFonts w:eastAsia="Work Sans" w:cs="WorkSans-Light"/>
                <w:color w:val="2F3A48"/>
              </w:rPr>
            </w:pPr>
            <w:r w:rsidRPr="000F47C5">
              <w:rPr>
                <w:rFonts w:eastAsia="Work Sans" w:cs="WorkSans-Light"/>
                <w:color w:val="2F3A48"/>
              </w:rPr>
              <w:t>NACC Act: s 271(2)(a)(v)</w:t>
            </w:r>
          </w:p>
          <w:p w14:paraId="2E0B44FA" w14:textId="63CCEEEC"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Regulations: s</w:t>
            </w:r>
            <w:r w:rsidR="00971F99">
              <w:rPr>
                <w:rFonts w:eastAsia="Times New Roman" w:cs="Times New Roman"/>
                <w:color w:val="2F3A48"/>
                <w:lang w:eastAsia="en-GB"/>
              </w:rPr>
              <w:t> </w:t>
            </w:r>
            <w:r w:rsidRPr="003E22F6">
              <w:rPr>
                <w:rFonts w:eastAsia="Times New Roman" w:cs="Times New Roman"/>
                <w:color w:val="2F3A48"/>
                <w:lang w:eastAsia="en-GB"/>
              </w:rPr>
              <w:t>31(1)(b)</w:t>
            </w:r>
          </w:p>
        </w:tc>
      </w:tr>
      <w:tr w:rsidR="009D2AB6" w:rsidRPr="003E22F6" w14:paraId="3F44A121" w14:textId="77777777">
        <w:trPr>
          <w:cnfStyle w:val="000000100000" w:firstRow="0" w:lastRow="0" w:firstColumn="0" w:lastColumn="0" w:oddVBand="0" w:evenVBand="0" w:oddHBand="1" w:evenHBand="0" w:firstRowFirstColumn="0" w:firstRowLastColumn="0" w:lastRowFirstColumn="0" w:lastRowLastColumn="0"/>
        </w:trPr>
        <w:tc>
          <w:tcPr>
            <w:tcW w:w="671" w:type="dxa"/>
          </w:tcPr>
          <w:p w14:paraId="278D8240"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15</w:t>
            </w:r>
          </w:p>
        </w:tc>
        <w:tc>
          <w:tcPr>
            <w:tcW w:w="4858" w:type="dxa"/>
          </w:tcPr>
          <w:p w14:paraId="7ACA9C53"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Number of s 235 certificates issued by the Attorney-General</w:t>
            </w:r>
          </w:p>
        </w:tc>
        <w:tc>
          <w:tcPr>
            <w:tcW w:w="3497" w:type="dxa"/>
          </w:tcPr>
          <w:p w14:paraId="49DC2801" w14:textId="65F01C25" w:rsidR="009D2AB6" w:rsidRPr="000F47C5" w:rsidRDefault="009D2AB6">
            <w:pPr>
              <w:tabs>
                <w:tab w:val="left" w:pos="113"/>
              </w:tabs>
              <w:suppressAutoHyphens/>
              <w:spacing w:before="120" w:after="120"/>
              <w:textAlignment w:val="center"/>
              <w:rPr>
                <w:rFonts w:eastAsia="Work Sans" w:cs="WorkSans-Light"/>
                <w:color w:val="2F3A48"/>
              </w:rPr>
            </w:pPr>
            <w:r w:rsidRPr="000F47C5">
              <w:rPr>
                <w:rFonts w:eastAsia="Work Sans" w:cs="WorkSans-Light"/>
                <w:color w:val="2F3A48"/>
              </w:rPr>
              <w:t>NACC Act: s 271(2)(a)(vi)</w:t>
            </w:r>
          </w:p>
          <w:p w14:paraId="1DF79CBC" w14:textId="77777777"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Regulations: s 32(1)</w:t>
            </w:r>
          </w:p>
        </w:tc>
      </w:tr>
      <w:tr w:rsidR="009D2AB6" w:rsidRPr="003E22F6" w14:paraId="26E33FA6" w14:textId="77777777">
        <w:tc>
          <w:tcPr>
            <w:tcW w:w="671" w:type="dxa"/>
          </w:tcPr>
          <w:p w14:paraId="46E637BE"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16</w:t>
            </w:r>
          </w:p>
        </w:tc>
        <w:tc>
          <w:tcPr>
            <w:tcW w:w="4858" w:type="dxa"/>
          </w:tcPr>
          <w:p w14:paraId="08F55C2D"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Number of s 236 (international relations) certificates issued by the Attorney-General</w:t>
            </w:r>
          </w:p>
        </w:tc>
        <w:tc>
          <w:tcPr>
            <w:tcW w:w="3497" w:type="dxa"/>
          </w:tcPr>
          <w:p w14:paraId="47DDF041" w14:textId="77777777" w:rsidR="009D2AB6" w:rsidRPr="000F47C5" w:rsidRDefault="009D2AB6">
            <w:pPr>
              <w:tabs>
                <w:tab w:val="left" w:pos="113"/>
              </w:tabs>
              <w:suppressAutoHyphens/>
              <w:spacing w:before="120" w:after="120"/>
              <w:textAlignment w:val="center"/>
              <w:rPr>
                <w:rFonts w:eastAsia="Work Sans" w:cs="WorkSans-Light"/>
                <w:color w:val="2F3A48"/>
              </w:rPr>
            </w:pPr>
            <w:r w:rsidRPr="000F47C5">
              <w:rPr>
                <w:rFonts w:eastAsia="Work Sans" w:cs="WorkSans-Light"/>
                <w:color w:val="2F3A48"/>
              </w:rPr>
              <w:t>NACC Act: s 271(2)(a)(vii)</w:t>
            </w:r>
          </w:p>
          <w:p w14:paraId="2856D983" w14:textId="77777777"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Regulations: s 32(2)</w:t>
            </w:r>
          </w:p>
        </w:tc>
      </w:tr>
      <w:tr w:rsidR="009D2AB6" w:rsidRPr="003E22F6" w14:paraId="1D4BA7B8" w14:textId="77777777">
        <w:trPr>
          <w:cnfStyle w:val="000000100000" w:firstRow="0" w:lastRow="0" w:firstColumn="0" w:lastColumn="0" w:oddVBand="0" w:evenVBand="0" w:oddHBand="1" w:evenHBand="0" w:firstRowFirstColumn="0" w:firstRowLastColumn="0" w:lastRowFirstColumn="0" w:lastRowLastColumn="0"/>
        </w:trPr>
        <w:tc>
          <w:tcPr>
            <w:tcW w:w="671" w:type="dxa"/>
          </w:tcPr>
          <w:p w14:paraId="770D7A99"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lastRenderedPageBreak/>
              <w:t>17</w:t>
            </w:r>
          </w:p>
        </w:tc>
        <w:tc>
          <w:tcPr>
            <w:tcW w:w="4858" w:type="dxa"/>
          </w:tcPr>
          <w:p w14:paraId="5B2541BB"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Extent to which corruption investigations have resulted in prosecution of persons for offences</w:t>
            </w:r>
          </w:p>
        </w:tc>
        <w:tc>
          <w:tcPr>
            <w:tcW w:w="3497" w:type="dxa"/>
          </w:tcPr>
          <w:p w14:paraId="3F579067" w14:textId="77777777"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Act: s 271(2)(e)</w:t>
            </w:r>
          </w:p>
        </w:tc>
      </w:tr>
      <w:tr w:rsidR="009D2AB6" w:rsidRPr="003E22F6" w14:paraId="6E3E199C" w14:textId="77777777">
        <w:tc>
          <w:tcPr>
            <w:tcW w:w="671" w:type="dxa"/>
          </w:tcPr>
          <w:p w14:paraId="7A6E11AF"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18</w:t>
            </w:r>
          </w:p>
        </w:tc>
        <w:tc>
          <w:tcPr>
            <w:tcW w:w="4858" w:type="dxa"/>
          </w:tcPr>
          <w:p w14:paraId="6BA97097"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Extent to which corruption investigations have resulted in confiscation proceedings</w:t>
            </w:r>
          </w:p>
        </w:tc>
        <w:tc>
          <w:tcPr>
            <w:tcW w:w="3497" w:type="dxa"/>
          </w:tcPr>
          <w:p w14:paraId="5E51412C" w14:textId="77777777"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Act: s 271(2)(f)</w:t>
            </w:r>
          </w:p>
        </w:tc>
      </w:tr>
      <w:tr w:rsidR="009D2AB6" w:rsidRPr="003E22F6" w14:paraId="3BDB4707" w14:textId="77777777">
        <w:trPr>
          <w:cnfStyle w:val="000000100000" w:firstRow="0" w:lastRow="0" w:firstColumn="0" w:lastColumn="0" w:oddVBand="0" w:evenVBand="0" w:oddHBand="1" w:evenHBand="0" w:firstRowFirstColumn="0" w:firstRowLastColumn="0" w:lastRowFirstColumn="0" w:lastRowLastColumn="0"/>
        </w:trPr>
        <w:tc>
          <w:tcPr>
            <w:tcW w:w="671" w:type="dxa"/>
          </w:tcPr>
          <w:p w14:paraId="5F6973B3"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19</w:t>
            </w:r>
          </w:p>
        </w:tc>
        <w:tc>
          <w:tcPr>
            <w:tcW w:w="4858" w:type="dxa"/>
          </w:tcPr>
          <w:p w14:paraId="6B8887F2"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 xml:space="preserve">Number and type of applications made for judicial review </w:t>
            </w:r>
          </w:p>
        </w:tc>
        <w:tc>
          <w:tcPr>
            <w:tcW w:w="3497" w:type="dxa"/>
          </w:tcPr>
          <w:p w14:paraId="6FD43AA9" w14:textId="77777777"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Act: s 271(2)(g)(</w:t>
            </w:r>
            <w:proofErr w:type="spellStart"/>
            <w:r w:rsidRPr="003E22F6">
              <w:rPr>
                <w:rFonts w:eastAsia="Times New Roman" w:cs="Times New Roman"/>
                <w:color w:val="2F3A48"/>
                <w:lang w:eastAsia="en-GB"/>
              </w:rPr>
              <w:t>i</w:t>
            </w:r>
            <w:proofErr w:type="spellEnd"/>
            <w:r w:rsidRPr="003E22F6">
              <w:rPr>
                <w:rFonts w:eastAsia="Times New Roman" w:cs="Times New Roman"/>
                <w:color w:val="2F3A48"/>
                <w:lang w:eastAsia="en-GB"/>
              </w:rPr>
              <w:t>)</w:t>
            </w:r>
          </w:p>
        </w:tc>
      </w:tr>
      <w:tr w:rsidR="009D2AB6" w:rsidRPr="003E22F6" w14:paraId="0EE7E144" w14:textId="77777777">
        <w:tc>
          <w:tcPr>
            <w:tcW w:w="671" w:type="dxa"/>
          </w:tcPr>
          <w:p w14:paraId="6640A517"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20</w:t>
            </w:r>
          </w:p>
        </w:tc>
        <w:tc>
          <w:tcPr>
            <w:tcW w:w="4858" w:type="dxa"/>
          </w:tcPr>
          <w:p w14:paraId="590A637B"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 xml:space="preserve">Outcomes of applications made for judicial review </w:t>
            </w:r>
          </w:p>
        </w:tc>
        <w:tc>
          <w:tcPr>
            <w:tcW w:w="3497" w:type="dxa"/>
          </w:tcPr>
          <w:p w14:paraId="7E9756BF" w14:textId="77777777"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Act: s 271(2)(g)(</w:t>
            </w:r>
            <w:proofErr w:type="spellStart"/>
            <w:r w:rsidRPr="003E22F6">
              <w:rPr>
                <w:rFonts w:eastAsia="Times New Roman" w:cs="Times New Roman"/>
                <w:color w:val="2F3A48"/>
                <w:lang w:eastAsia="en-GB"/>
              </w:rPr>
              <w:t>i</w:t>
            </w:r>
            <w:proofErr w:type="spellEnd"/>
            <w:r w:rsidRPr="003E22F6">
              <w:rPr>
                <w:rFonts w:eastAsia="Times New Roman" w:cs="Times New Roman"/>
                <w:color w:val="2F3A48"/>
                <w:lang w:eastAsia="en-GB"/>
              </w:rPr>
              <w:t>)</w:t>
            </w:r>
          </w:p>
        </w:tc>
      </w:tr>
      <w:tr w:rsidR="009D2AB6" w:rsidRPr="003E22F6" w14:paraId="00F6F0CD" w14:textId="77777777">
        <w:trPr>
          <w:cnfStyle w:val="000000100000" w:firstRow="0" w:lastRow="0" w:firstColumn="0" w:lastColumn="0" w:oddVBand="0" w:evenVBand="0" w:oddHBand="1" w:evenHBand="0" w:firstRowFirstColumn="0" w:firstRowLastColumn="0" w:lastRowFirstColumn="0" w:lastRowLastColumn="0"/>
        </w:trPr>
        <w:tc>
          <w:tcPr>
            <w:tcW w:w="671" w:type="dxa"/>
          </w:tcPr>
          <w:p w14:paraId="70B99530"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21</w:t>
            </w:r>
          </w:p>
        </w:tc>
        <w:tc>
          <w:tcPr>
            <w:tcW w:w="4858" w:type="dxa"/>
          </w:tcPr>
          <w:p w14:paraId="1A9D4814"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Number of other court proceedings involving the Commissioner</w:t>
            </w:r>
          </w:p>
        </w:tc>
        <w:tc>
          <w:tcPr>
            <w:tcW w:w="3497" w:type="dxa"/>
          </w:tcPr>
          <w:p w14:paraId="1EE2E1A3" w14:textId="77777777"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Act: s 271(2)(g)(ii)</w:t>
            </w:r>
          </w:p>
        </w:tc>
      </w:tr>
      <w:tr w:rsidR="009D2AB6" w:rsidRPr="003E22F6" w14:paraId="7FA14671" w14:textId="77777777">
        <w:tc>
          <w:tcPr>
            <w:tcW w:w="671" w:type="dxa"/>
          </w:tcPr>
          <w:p w14:paraId="1C809FFF"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22</w:t>
            </w:r>
          </w:p>
        </w:tc>
        <w:tc>
          <w:tcPr>
            <w:tcW w:w="4858" w:type="dxa"/>
          </w:tcPr>
          <w:p w14:paraId="0D86C3F8"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 xml:space="preserve">Outcomes of other court proceedings involving the Commissioner </w:t>
            </w:r>
          </w:p>
        </w:tc>
        <w:tc>
          <w:tcPr>
            <w:tcW w:w="3497" w:type="dxa"/>
          </w:tcPr>
          <w:p w14:paraId="0618C745" w14:textId="77777777"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Act: s 271(2)(g)(ii)</w:t>
            </w:r>
          </w:p>
        </w:tc>
      </w:tr>
      <w:tr w:rsidR="009D2AB6" w:rsidRPr="003E22F6" w14:paraId="38790958" w14:textId="77777777">
        <w:trPr>
          <w:cnfStyle w:val="000000100000" w:firstRow="0" w:lastRow="0" w:firstColumn="0" w:lastColumn="0" w:oddVBand="0" w:evenVBand="0" w:oddHBand="1" w:evenHBand="0" w:firstRowFirstColumn="0" w:firstRowLastColumn="0" w:lastRowFirstColumn="0" w:lastRowLastColumn="0"/>
        </w:trPr>
        <w:tc>
          <w:tcPr>
            <w:tcW w:w="671" w:type="dxa"/>
          </w:tcPr>
          <w:p w14:paraId="6918513A"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23</w:t>
            </w:r>
          </w:p>
        </w:tc>
        <w:tc>
          <w:tcPr>
            <w:tcW w:w="4858" w:type="dxa"/>
          </w:tcPr>
          <w:p w14:paraId="64F0FD27"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A description of the kinds of corruption risks, corruption vulnerabilities or measures to prevent corruption into which the public inquiry or inquiries were conducted</w:t>
            </w:r>
          </w:p>
        </w:tc>
        <w:tc>
          <w:tcPr>
            <w:tcW w:w="3497" w:type="dxa"/>
          </w:tcPr>
          <w:p w14:paraId="0C2CAE44" w14:textId="77777777" w:rsidR="009D2AB6" w:rsidRPr="000F47C5" w:rsidRDefault="009D2AB6">
            <w:pPr>
              <w:tabs>
                <w:tab w:val="left" w:pos="113"/>
              </w:tabs>
              <w:suppressAutoHyphens/>
              <w:spacing w:before="120" w:after="120"/>
              <w:textAlignment w:val="center"/>
              <w:rPr>
                <w:rFonts w:eastAsia="Work Sans" w:cs="WorkSans-Light"/>
                <w:color w:val="2F3A48"/>
              </w:rPr>
            </w:pPr>
            <w:r w:rsidRPr="000F47C5">
              <w:rPr>
                <w:rFonts w:eastAsia="Work Sans" w:cs="WorkSans-Light"/>
                <w:color w:val="2F3A48"/>
              </w:rPr>
              <w:t>NACC Act: s 271(2)(a)(v)</w:t>
            </w:r>
          </w:p>
          <w:p w14:paraId="29262C2A" w14:textId="77777777"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Regulations: s 31(2)</w:t>
            </w:r>
          </w:p>
        </w:tc>
      </w:tr>
      <w:tr w:rsidR="009D2AB6" w:rsidRPr="003E22F6" w14:paraId="49FEB323" w14:textId="77777777">
        <w:tc>
          <w:tcPr>
            <w:tcW w:w="671" w:type="dxa"/>
          </w:tcPr>
          <w:p w14:paraId="166856C1"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24</w:t>
            </w:r>
          </w:p>
        </w:tc>
        <w:tc>
          <w:tcPr>
            <w:tcW w:w="4858" w:type="dxa"/>
          </w:tcPr>
          <w:p w14:paraId="3BD4DF2A"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A description of the corruption investigations conducted by the Commissioner during that year that the Commissioner considers raise significant issues for, or reflect developments in, Commonwealth agencies</w:t>
            </w:r>
          </w:p>
        </w:tc>
        <w:tc>
          <w:tcPr>
            <w:tcW w:w="3497" w:type="dxa"/>
          </w:tcPr>
          <w:p w14:paraId="708218CF" w14:textId="77777777"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Act: s 271(2)(b)</w:t>
            </w:r>
          </w:p>
        </w:tc>
      </w:tr>
      <w:tr w:rsidR="009D2AB6" w:rsidRPr="003E22F6" w14:paraId="0A66BFA5" w14:textId="77777777">
        <w:trPr>
          <w:cnfStyle w:val="000000100000" w:firstRow="0" w:lastRow="0" w:firstColumn="0" w:lastColumn="0" w:oddVBand="0" w:evenVBand="0" w:oddHBand="1" w:evenHBand="0" w:firstRowFirstColumn="0" w:firstRowLastColumn="0" w:lastRowFirstColumn="0" w:lastRowLastColumn="0"/>
        </w:trPr>
        <w:tc>
          <w:tcPr>
            <w:tcW w:w="671" w:type="dxa"/>
          </w:tcPr>
          <w:p w14:paraId="4B2B1BF5"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lastRenderedPageBreak/>
              <w:t>25</w:t>
            </w:r>
          </w:p>
        </w:tc>
        <w:tc>
          <w:tcPr>
            <w:tcW w:w="4858" w:type="dxa"/>
          </w:tcPr>
          <w:p w14:paraId="4FDC6277"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A description of any patterns or trends, and the nature and scope of corruption in Commonwealth agencies or by public officials that have come to the Commissioner’s attention during that year</w:t>
            </w:r>
          </w:p>
        </w:tc>
        <w:tc>
          <w:tcPr>
            <w:tcW w:w="3497" w:type="dxa"/>
          </w:tcPr>
          <w:p w14:paraId="54BA4E9D" w14:textId="77777777"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Act: s 271(2)(c)</w:t>
            </w:r>
          </w:p>
        </w:tc>
      </w:tr>
      <w:tr w:rsidR="009D2AB6" w:rsidRPr="003E22F6" w14:paraId="454629BF" w14:textId="77777777">
        <w:tc>
          <w:tcPr>
            <w:tcW w:w="671" w:type="dxa"/>
          </w:tcPr>
          <w:p w14:paraId="22D2D1EB"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26</w:t>
            </w:r>
          </w:p>
        </w:tc>
        <w:tc>
          <w:tcPr>
            <w:tcW w:w="4858" w:type="dxa"/>
          </w:tcPr>
          <w:p w14:paraId="0CCBE7F6" w14:textId="77777777" w:rsidR="009D2AB6" w:rsidRPr="003E22F6" w:rsidRDefault="009D2AB6">
            <w:pPr>
              <w:spacing w:before="120" w:after="120"/>
              <w:rPr>
                <w:rFonts w:eastAsia="Work Sans" w:cs="Times New Roman"/>
                <w:color w:val="2F3A48"/>
              </w:rPr>
            </w:pPr>
            <w:r w:rsidRPr="003E22F6">
              <w:rPr>
                <w:rFonts w:eastAsia="Work Sans" w:cs="Times New Roman"/>
                <w:color w:val="2F3A48"/>
              </w:rPr>
              <w:t xml:space="preserve">Any recommendations for changes to the laws of the Commonwealth or administrative practices of Commonwealth agencies that the Commissioner, </w:t>
            </w:r>
            <w:proofErr w:type="gramStart"/>
            <w:r w:rsidRPr="003E22F6">
              <w:rPr>
                <w:rFonts w:eastAsia="Work Sans" w:cs="Times New Roman"/>
                <w:color w:val="2F3A48"/>
              </w:rPr>
              <w:t>as a result of</w:t>
            </w:r>
            <w:proofErr w:type="gramEnd"/>
            <w:r w:rsidRPr="003E22F6">
              <w:rPr>
                <w:rFonts w:eastAsia="Work Sans" w:cs="Times New Roman"/>
                <w:color w:val="2F3A48"/>
              </w:rPr>
              <w:t xml:space="preserve"> performing the Commissioner’s functions during that year, considers should be made</w:t>
            </w:r>
          </w:p>
        </w:tc>
        <w:tc>
          <w:tcPr>
            <w:tcW w:w="3497" w:type="dxa"/>
          </w:tcPr>
          <w:p w14:paraId="058E75B4" w14:textId="77777777" w:rsidR="009D2AB6" w:rsidRPr="003E22F6" w:rsidRDefault="009D2AB6">
            <w:pPr>
              <w:spacing w:before="120" w:after="120"/>
              <w:rPr>
                <w:rFonts w:eastAsia="Times New Roman" w:cs="Times New Roman"/>
                <w:color w:val="2F3A48"/>
                <w:lang w:eastAsia="en-GB"/>
              </w:rPr>
            </w:pPr>
            <w:r w:rsidRPr="003E22F6">
              <w:rPr>
                <w:rFonts w:eastAsia="Times New Roman" w:cs="Times New Roman"/>
                <w:color w:val="2F3A48"/>
                <w:lang w:eastAsia="en-GB"/>
              </w:rPr>
              <w:t>NACC Act: s 271(2)(d)</w:t>
            </w:r>
          </w:p>
        </w:tc>
      </w:tr>
    </w:tbl>
    <w:p w14:paraId="04F655CA" w14:textId="77777777" w:rsidR="009D2AB6" w:rsidRPr="000F47C5" w:rsidRDefault="009D2AB6" w:rsidP="009D2AB6">
      <w:pPr>
        <w:spacing w:before="0"/>
        <w:rPr>
          <w:rFonts w:eastAsia="Work Sans" w:cs="Work Sans"/>
          <w:color w:val="2F3A48"/>
        </w:rPr>
      </w:pPr>
      <w:r w:rsidRPr="003E22F6">
        <w:br w:type="page"/>
      </w:r>
    </w:p>
    <w:p w14:paraId="5541B7BD" w14:textId="48F84BDA" w:rsidR="003A7D14" w:rsidRPr="003E22F6" w:rsidRDefault="003A7D14">
      <w:pPr>
        <w:spacing w:before="0" w:after="0" w:line="240" w:lineRule="auto"/>
      </w:pPr>
    </w:p>
    <w:p w14:paraId="06D555EA" w14:textId="5F3E1BE1" w:rsidR="006C30BB" w:rsidRPr="003E22F6" w:rsidRDefault="00FE6491" w:rsidP="006C30BB">
      <w:r w:rsidRPr="003E22F6">
        <w:rPr>
          <w:noProof/>
        </w:rPr>
        <mc:AlternateContent>
          <mc:Choice Requires="wps">
            <w:drawing>
              <wp:anchor distT="0" distB="0" distL="114300" distR="114300" simplePos="0" relativeHeight="251658241" behindDoc="1" locked="0" layoutInCell="1" allowOverlap="1" wp14:anchorId="6CC07B53" wp14:editId="1E8F7D45">
                <wp:simplePos x="0" y="0"/>
                <wp:positionH relativeFrom="column">
                  <wp:posOffset>-914400</wp:posOffset>
                </wp:positionH>
                <wp:positionV relativeFrom="page">
                  <wp:posOffset>402</wp:posOffset>
                </wp:positionV>
                <wp:extent cx="7550150" cy="10688320"/>
                <wp:effectExtent l="0" t="0" r="0" b="0"/>
                <wp:wrapNone/>
                <wp:docPr id="1393831928"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0150" cy="1068832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4F6E9B" id="Rectangle 1" o:spid="_x0000_s1026" alt="&quot;&quot;" style="position:absolute;margin-left:-1in;margin-top:.05pt;width:594.5pt;height:841.6pt;z-index:-251658239;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" fillcolor="#2f3a48 [3215]" stroked="f" strokeweight="1pt">
                <w10:wrap anchory="page"/>
              </v:rect>
            </w:pict>
          </mc:Fallback>
        </mc:AlternateContent>
      </w:r>
    </w:p>
    <w:p w14:paraId="48BDCEED" w14:textId="0A9EBD6B" w:rsidR="006C30BB" w:rsidRPr="003E22F6" w:rsidRDefault="006C30BB" w:rsidP="006C30BB">
      <w:pPr>
        <w:spacing w:before="2520" w:after="1320"/>
        <w:jc w:val="center"/>
      </w:pPr>
      <w:r w:rsidRPr="003E22F6">
        <w:rPr>
          <w:noProof/>
        </w:rPr>
        <w:drawing>
          <wp:inline distT="0" distB="0" distL="0" distR="0" wp14:anchorId="5468B536" wp14:editId="629AC68E">
            <wp:extent cx="3642180" cy="684000"/>
            <wp:effectExtent l="0" t="0" r="0" b="1905"/>
            <wp:docPr id="1839622443" name="Picture 1839622443" descr="National Anti-Corruptio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National Anti-Corruption Commission."/>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42180" cy="684000"/>
                    </a:xfrm>
                    <a:prstGeom prst="rect">
                      <a:avLst/>
                    </a:prstGeom>
                  </pic:spPr>
                </pic:pic>
              </a:graphicData>
            </a:graphic>
          </wp:inline>
        </w:drawing>
      </w:r>
    </w:p>
    <w:p w14:paraId="5FE3FD1B" w14:textId="0E372737" w:rsidR="0034081D" w:rsidRPr="003E22F6" w:rsidRDefault="006C30BB" w:rsidP="006C30BB">
      <w:pPr>
        <w:spacing w:before="8640"/>
        <w:jc w:val="center"/>
        <w:rPr>
          <w:rFonts w:ascii="Work Sans Light" w:hAnsi="Work Sans Light"/>
          <w:b/>
          <w:bCs/>
          <w:color w:val="FFFFFF" w:themeColor="accent5"/>
          <w:sz w:val="28"/>
          <w:szCs w:val="28"/>
        </w:rPr>
      </w:pPr>
      <w:r w:rsidRPr="003E22F6">
        <w:rPr>
          <w:rFonts w:ascii="Work Sans SemiBold" w:hAnsi="Work Sans SemiBold"/>
          <w:color w:val="FFFFFF" w:themeColor="accent5"/>
          <w:sz w:val="28"/>
          <w:szCs w:val="28"/>
        </w:rPr>
        <w:t>nacc</w:t>
      </w:r>
      <w:r w:rsidRPr="003E22F6">
        <w:rPr>
          <w:rFonts w:ascii="Work Sans Light" w:hAnsi="Work Sans Light"/>
          <w:color w:val="FFFFFF" w:themeColor="accent5"/>
          <w:sz w:val="28"/>
          <w:szCs w:val="28"/>
        </w:rPr>
        <w:t>.gov.au</w:t>
      </w:r>
    </w:p>
    <w:sectPr w:rsidR="0034081D" w:rsidRPr="003E22F6" w:rsidSect="008C37D2">
      <w:endnotePr>
        <w:numFmt w:val="decimal"/>
      </w:endnotePr>
      <w:pgSz w:w="11906" w:h="16838" w:code="9"/>
      <w:pgMar w:top="1440" w:right="1440" w:bottom="1276"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A2ADE" w14:textId="77777777" w:rsidR="00914291" w:rsidRDefault="00914291" w:rsidP="00AF1C73">
      <w:r>
        <w:separator/>
      </w:r>
    </w:p>
    <w:p w14:paraId="0E7B4ECF" w14:textId="77777777" w:rsidR="00914291" w:rsidRDefault="00914291"/>
    <w:p w14:paraId="2B8B0B9B" w14:textId="77777777" w:rsidR="00914291" w:rsidRDefault="00914291"/>
  </w:endnote>
  <w:endnote w:type="continuationSeparator" w:id="0">
    <w:p w14:paraId="5AA4D630" w14:textId="77777777" w:rsidR="00914291" w:rsidRDefault="00914291" w:rsidP="00AF1C73">
      <w:r>
        <w:continuationSeparator/>
      </w:r>
    </w:p>
    <w:p w14:paraId="00B9D4AB" w14:textId="77777777" w:rsidR="00914291" w:rsidRDefault="00914291"/>
    <w:p w14:paraId="742066CE" w14:textId="77777777" w:rsidR="00914291" w:rsidRDefault="00914291"/>
  </w:endnote>
  <w:endnote w:type="continuationNotice" w:id="1">
    <w:p w14:paraId="2DE24C6C" w14:textId="77777777" w:rsidR="00914291" w:rsidRDefault="00914291">
      <w:pPr>
        <w:spacing w:before="0" w:after="0" w:line="240" w:lineRule="auto"/>
      </w:pPr>
    </w:p>
    <w:p w14:paraId="5D9A9EB4" w14:textId="77777777" w:rsidR="00914291" w:rsidRDefault="00914291"/>
    <w:p w14:paraId="0FC74692" w14:textId="77777777" w:rsidR="00914291" w:rsidRDefault="009142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ork Sans">
    <w:panose1 w:val="00000000000000000000"/>
    <w:charset w:val="00"/>
    <w:family w:val="auto"/>
    <w:pitch w:val="variable"/>
    <w:sig w:usb0="A00000FF" w:usb1="5000E07B" w:usb2="00000000" w:usb3="00000000" w:csb0="00000193" w:csb1="00000000"/>
    <w:embedRegular r:id="rId1" w:fontKey="{3E9D6A73-3EDE-4331-9400-1CACE021A0A2}"/>
    <w:embedBold r:id="rId2" w:fontKey="{FF8F193B-258C-48B1-B6BE-477E191BA7E8}"/>
    <w:embedItalic r:id="rId3" w:fontKey="{CFB403FF-659F-4387-AA8E-11CCBD677DE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paign Medium">
    <w:altName w:val="Calibri"/>
    <w:panose1 w:val="00000000000000000000"/>
    <w:charset w:val="4D"/>
    <w:family w:val="auto"/>
    <w:notTrueType/>
    <w:pitch w:val="variable"/>
    <w:sig w:usb0="800000AF" w:usb1="50002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ork Sans Medium">
    <w:panose1 w:val="00000000000000000000"/>
    <w:charset w:val="00"/>
    <w:family w:val="auto"/>
    <w:pitch w:val="variable"/>
    <w:sig w:usb0="A00000FF" w:usb1="5000E07B" w:usb2="00000000" w:usb3="00000000" w:csb0="00000193" w:csb1="00000000"/>
    <w:embedRegular r:id="rId4" w:subsetted="1" w:fontKey="{E0E79015-9130-468B-B856-742B5CDDBE3C}"/>
  </w:font>
  <w:font w:name="Calibri">
    <w:panose1 w:val="020F0502020204030204"/>
    <w:charset w:val="00"/>
    <w:family w:val="swiss"/>
    <w:pitch w:val="variable"/>
    <w:sig w:usb0="E4002EFF" w:usb1="C200247B" w:usb2="00000009" w:usb3="00000000" w:csb0="000001FF" w:csb1="00000000"/>
  </w:font>
  <w:font w:name="Work Sans SemiBold">
    <w:panose1 w:val="00000000000000000000"/>
    <w:charset w:val="00"/>
    <w:family w:val="auto"/>
    <w:pitch w:val="variable"/>
    <w:sig w:usb0="A00000FF" w:usb1="5000E07B" w:usb2="00000000" w:usb3="00000000" w:csb0="00000193" w:csb1="00000000"/>
    <w:embedRegular r:id="rId5" w:fontKey="{0BB83451-2B9D-4D08-BFE0-C1D01E6FE54F}"/>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paign Regular">
    <w:altName w:val="Calibri"/>
    <w:panose1 w:val="00000000000000000000"/>
    <w:charset w:val="4D"/>
    <w:family w:val="auto"/>
    <w:notTrueType/>
    <w:pitch w:val="variable"/>
    <w:sig w:usb0="800000AF" w:usb1="5000204A"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WorkSans-Light">
    <w:altName w:val="Calibri"/>
    <w:panose1 w:val="00000000000000000000"/>
    <w:charset w:val="00"/>
    <w:family w:val="auto"/>
    <w:notTrueType/>
    <w:pitch w:val="default"/>
    <w:sig w:usb0="00000003" w:usb1="00000000" w:usb2="00000000" w:usb3="00000000" w:csb0="00000001" w:csb1="00000000"/>
  </w:font>
  <w:font w:name="WorkSans-Medium">
    <w:altName w:val="Calibri"/>
    <w:panose1 w:val="00000000000000000000"/>
    <w:charset w:val="00"/>
    <w:family w:val="auto"/>
    <w:notTrueType/>
    <w:pitch w:val="default"/>
    <w:sig w:usb0="00000003" w:usb1="00000000" w:usb2="00000000" w:usb3="00000000" w:csb0="00000001" w:csb1="00000000"/>
  </w:font>
  <w:font w:name="WorkSans-SemiBold">
    <w:altName w:val="Calibri"/>
    <w:panose1 w:val="00000000000000000000"/>
    <w:charset w:val="00"/>
    <w:family w:val="swiss"/>
    <w:notTrueType/>
    <w:pitch w:val="default"/>
    <w:sig w:usb0="00000003" w:usb1="00000000" w:usb2="00000000" w:usb3="00000000" w:csb0="00000001" w:csb1="00000000"/>
  </w:font>
  <w:font w:name="WorkSans-Bold">
    <w:altName w:val="Calibri"/>
    <w:panose1 w:val="00000000000000000000"/>
    <w:charset w:val="00"/>
    <w:family w:val="auto"/>
    <w:notTrueType/>
    <w:pitch w:val="default"/>
    <w:sig w:usb0="00000003" w:usb1="00000000" w:usb2="00000000" w:usb3="00000000" w:csb0="00000001" w:csb1="00000000"/>
  </w:font>
  <w:font w:name="WorkSans-Regular">
    <w:altName w:val="Calibri"/>
    <w:panose1 w:val="00000000000000000000"/>
    <w:charset w:val="00"/>
    <w:family w:val="auto"/>
    <w:notTrueType/>
    <w:pitch w:val="default"/>
    <w:sig w:usb0="00000003" w:usb1="00000000" w:usb2="00000000" w:usb3="00000000" w:csb0="00000001" w:csb1="00000000"/>
  </w:font>
  <w:font w:name="Work Sans Light">
    <w:panose1 w:val="00000000000000000000"/>
    <w:charset w:val="00"/>
    <w:family w:val="auto"/>
    <w:pitch w:val="variable"/>
    <w:sig w:usb0="A00000FF" w:usb1="5000E07B" w:usb2="00000000" w:usb3="00000000" w:csb0="00000193" w:csb1="00000000"/>
    <w:embedRegular r:id="rId6" w:subsetted="1" w:fontKey="{209EE3B9-AD93-4DF1-A2BB-F325F8F9716F}"/>
  </w:font>
  <w:font w:name="Aptos">
    <w:panose1 w:val="020B0004020202020204"/>
    <w:charset w:val="00"/>
    <w:family w:val="swiss"/>
    <w:pitch w:val="variable"/>
    <w:sig w:usb0="20000287" w:usb1="00000003" w:usb2="00000000" w:usb3="00000000" w:csb0="0000019F" w:csb1="00000000"/>
    <w:embedRegular r:id="rId7" w:subsetted="1" w:fontKey="{CA02C1E5-9221-413A-95F8-89BD6CDE4408}"/>
  </w:font>
  <w:font w:name="Cambria Math">
    <w:panose1 w:val="02040503050406030204"/>
    <w:charset w:val="00"/>
    <w:family w:val="roman"/>
    <w:pitch w:val="variable"/>
    <w:sig w:usb0="E00006FF" w:usb1="420024FF" w:usb2="02000000" w:usb3="00000000" w:csb0="0000019F" w:csb1="00000000"/>
    <w:embedRegular r:id="rId8" w:fontKey="{333AD8F3-6C33-4D23-A4FB-AB231EC9367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0FAD4" w14:textId="48C79AF9" w:rsidR="001C070F" w:rsidRDefault="00A44AA8" w:rsidP="00AF1C73">
    <w:pPr>
      <w:pStyle w:val="Footer"/>
      <w:rPr>
        <w:rStyle w:val="PageNumber"/>
      </w:rPr>
    </w:pPr>
    <w:r>
      <w:rPr>
        <w:noProof/>
      </w:rPr>
      <mc:AlternateContent>
        <mc:Choice Requires="wps">
          <w:drawing>
            <wp:anchor distT="0" distB="0" distL="0" distR="0" simplePos="0" relativeHeight="251658241" behindDoc="0" locked="0" layoutInCell="1" allowOverlap="1" wp14:anchorId="2C912045" wp14:editId="19F32EEB">
              <wp:simplePos x="635" y="635"/>
              <wp:positionH relativeFrom="page">
                <wp:align>center</wp:align>
              </wp:positionH>
              <wp:positionV relativeFrom="page">
                <wp:align>bottom</wp:align>
              </wp:positionV>
              <wp:extent cx="622300" cy="621665"/>
              <wp:effectExtent l="0" t="0" r="6350" b="0"/>
              <wp:wrapNone/>
              <wp:docPr id="1033866757" name="Text Box 12"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621665"/>
                      </a:xfrm>
                      <a:prstGeom prst="rect">
                        <a:avLst/>
                      </a:prstGeom>
                      <a:noFill/>
                      <a:ln>
                        <a:noFill/>
                      </a:ln>
                    </wps:spPr>
                    <wps:txbx>
                      <w:txbxContent>
                        <w:p w14:paraId="6662450C" w14:textId="62FFC043" w:rsidR="00A44AA8" w:rsidRPr="00A44AA8" w:rsidRDefault="00A44AA8" w:rsidP="00A44AA8">
                          <w:pPr>
                            <w:spacing w:after="0"/>
                            <w:rPr>
                              <w:rFonts w:ascii="Aptos" w:eastAsia="Aptos" w:hAnsi="Aptos" w:cs="Aptos"/>
                              <w:noProof/>
                              <w:color w:val="FF0000"/>
                            </w:rPr>
                          </w:pPr>
                          <w:r w:rsidRPr="00A44AA8">
                            <w:rPr>
                              <w:rFonts w:ascii="Aptos" w:eastAsia="Aptos" w:hAnsi="Aptos" w:cs="Aptos"/>
                              <w:noProof/>
                              <w:color w:val="FF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912045" id="_x0000_t202" coordsize="21600,21600" o:spt="202" path="m,l,21600r21600,l21600,xe">
              <v:stroke joinstyle="miter"/>
              <v:path gradientshapeok="t" o:connecttype="rect"/>
            </v:shapetype>
            <v:shape id="Text Box 12" o:spid="_x0000_s1027" type="#_x0000_t202" alt="OFFICIAL " style="position:absolute;margin-left:0;margin-top:0;width:49pt;height:48.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" filled="f" stroked="f">
              <v:textbox style="mso-fit-shape-to-text:t" inset="0,0,0,15pt">
                <w:txbxContent>
                  <w:p w14:paraId="6662450C" w14:textId="62FFC043" w:rsidR="00A44AA8" w:rsidRPr="00A44AA8" w:rsidRDefault="00A44AA8" w:rsidP="00A44AA8">
                    <w:pPr>
                      <w:spacing w:after="0"/>
                      <w:rPr>
                        <w:rFonts w:ascii="Aptos" w:eastAsia="Aptos" w:hAnsi="Aptos" w:cs="Aptos"/>
                        <w:noProof/>
                        <w:color w:val="FF0000"/>
                      </w:rPr>
                    </w:pPr>
                    <w:r w:rsidRPr="00A44AA8">
                      <w:rPr>
                        <w:rFonts w:ascii="Aptos" w:eastAsia="Aptos" w:hAnsi="Aptos" w:cs="Aptos"/>
                        <w:noProof/>
                        <w:color w:val="FF0000"/>
                      </w:rPr>
                      <w:t xml:space="preserve">OFFICIAL </w:t>
                    </w:r>
                  </w:p>
                </w:txbxContent>
              </v:textbox>
              <w10:wrap anchorx="page" anchory="page"/>
            </v:shape>
          </w:pict>
        </mc:Fallback>
      </mc:AlternateContent>
    </w:r>
  </w:p>
  <w:sdt>
    <w:sdtPr>
      <w:rPr>
        <w:rStyle w:val="PageNumber"/>
      </w:rPr>
      <w:id w:val="-760683071"/>
      <w:docPartObj>
        <w:docPartGallery w:val="Page Numbers (Bottom of Page)"/>
        <w:docPartUnique/>
      </w:docPartObj>
    </w:sdtPr>
    <w:sdtEndPr>
      <w:rPr>
        <w:rStyle w:val="PageNumber"/>
      </w:rPr>
    </w:sdtEndPr>
    <w:sdtContent>
      <w:p w14:paraId="0B5397AC" w14:textId="77777777" w:rsidR="001C070F" w:rsidRDefault="001C070F" w:rsidP="00AF1C7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0EE503E" w14:textId="77777777" w:rsidR="001C070F" w:rsidRDefault="001C070F" w:rsidP="00AF1C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B326D" w14:textId="47B23C59" w:rsidR="00F249C5" w:rsidRPr="00D861BF" w:rsidRDefault="00F249C5" w:rsidP="00F249C5">
    <w:pPr>
      <w:pBdr>
        <w:top w:val="single" w:sz="4" w:space="1" w:color="D9D9D9"/>
      </w:pBdr>
      <w:tabs>
        <w:tab w:val="center" w:pos="4513"/>
        <w:tab w:val="right" w:pos="9026"/>
      </w:tabs>
      <w:spacing w:before="120" w:after="120" w:line="300" w:lineRule="exact"/>
      <w:rPr>
        <w:rFonts w:eastAsia="Calibri" w:cs="Times New Roman"/>
        <w:b/>
        <w:bCs/>
        <w:kern w:val="2"/>
        <w:sz w:val="16"/>
        <w:szCs w:val="16"/>
        <w:lang w:val="en-GB"/>
        <w14:ligatures w14:val="standardContextual"/>
      </w:rPr>
    </w:pPr>
    <w:r>
      <w:rPr>
        <w:rFonts w:eastAsia="Calibri" w:cs="Times New Roman"/>
        <w:b/>
        <w:bCs/>
        <w:kern w:val="2"/>
        <w:sz w:val="16"/>
        <w:szCs w:val="16"/>
        <w:lang w:val="en-GB"/>
        <w14:ligatures w14:val="standardContextual"/>
      </w:rPr>
      <w:t xml:space="preserve">Corporate Plan </w:t>
    </w:r>
    <w:r>
      <w:rPr>
        <w:rFonts w:eastAsia="Calibri" w:cs="Times New Roman"/>
        <w:kern w:val="2"/>
        <w:sz w:val="16"/>
        <w:szCs w:val="16"/>
        <w:lang w:val="en-GB"/>
        <w14:ligatures w14:val="standardContextual"/>
      </w:rPr>
      <w:t>202</w:t>
    </w:r>
    <w:r w:rsidR="00835BE5">
      <w:rPr>
        <w:rFonts w:eastAsia="Calibri" w:cs="Times New Roman"/>
        <w:kern w:val="2"/>
        <w:sz w:val="16"/>
        <w:szCs w:val="16"/>
        <w:lang w:val="en-GB"/>
        <w14:ligatures w14:val="standardContextual"/>
      </w:rPr>
      <w:t>6</w:t>
    </w:r>
    <w:r w:rsidRPr="00F249C5">
      <w:rPr>
        <w:rFonts w:eastAsia="Calibri" w:cs="Times New Roman"/>
        <w:kern w:val="2"/>
        <w:sz w:val="16"/>
        <w:szCs w:val="16"/>
        <w:lang w:val="en-GB"/>
        <w14:ligatures w14:val="standardContextual"/>
      </w:rPr>
      <w:t>–</w:t>
    </w:r>
    <w:r w:rsidR="00835BE5">
      <w:rPr>
        <w:rFonts w:eastAsia="Calibri" w:cs="Times New Roman"/>
        <w:kern w:val="2"/>
        <w:sz w:val="16"/>
        <w:szCs w:val="16"/>
        <w:lang w:val="en-GB"/>
        <w14:ligatures w14:val="standardContextual"/>
      </w:rPr>
      <w:t>30</w:t>
    </w:r>
    <w:r w:rsidRPr="00082298">
      <w:rPr>
        <w:rFonts w:eastAsia="Calibri" w:cs="Times New Roman"/>
        <w:b/>
        <w:bCs/>
        <w:kern w:val="2"/>
        <w:sz w:val="16"/>
        <w:szCs w:val="16"/>
        <w:lang w:val="en-GB"/>
        <w14:ligatures w14:val="standardContextual"/>
      </w:rPr>
      <w:tab/>
    </w:r>
    <w:r w:rsidRPr="00082298">
      <w:rPr>
        <w:rFonts w:eastAsia="Calibri" w:cs="Times New Roman"/>
        <w:b/>
        <w:bCs/>
        <w:kern w:val="2"/>
        <w:sz w:val="16"/>
        <w:szCs w:val="16"/>
        <w:lang w:val="en-GB"/>
        <w14:ligatures w14:val="standardContextual"/>
      </w:rPr>
      <w:tab/>
    </w:r>
    <w:sdt>
      <w:sdtPr>
        <w:rPr>
          <w:rFonts w:eastAsia="Calibri" w:cs="Times New Roman"/>
          <w:b/>
          <w:bCs/>
          <w:kern w:val="2"/>
          <w:sz w:val="16"/>
          <w:szCs w:val="16"/>
          <w:lang w:val="en-GB"/>
          <w14:ligatures w14:val="standardContextual"/>
        </w:rPr>
        <w:id w:val="96525904"/>
        <w:docPartObj>
          <w:docPartGallery w:val="Page Numbers (Bottom of Page)"/>
          <w:docPartUnique/>
        </w:docPartObj>
      </w:sdtPr>
      <w:sdtEndPr>
        <w:rPr>
          <w:color w:val="7F7F7F"/>
          <w:spacing w:val="60"/>
        </w:rPr>
      </w:sdtEndPr>
      <w:sdtContent>
        <w:r w:rsidRPr="00082298">
          <w:rPr>
            <w:rFonts w:eastAsia="Calibri" w:cs="Times New Roman"/>
            <w:b/>
            <w:bCs/>
            <w:color w:val="2274B5"/>
            <w:kern w:val="2"/>
            <w:sz w:val="16"/>
            <w:szCs w:val="16"/>
            <w:lang w:val="en-GB"/>
            <w14:ligatures w14:val="standardContextual"/>
          </w:rPr>
          <w:fldChar w:fldCharType="begin"/>
        </w:r>
        <w:r w:rsidRPr="00082298">
          <w:rPr>
            <w:rFonts w:eastAsia="Calibri" w:cs="Times New Roman"/>
            <w:b/>
            <w:bCs/>
            <w:color w:val="2274B5"/>
            <w:kern w:val="2"/>
            <w:sz w:val="16"/>
            <w:szCs w:val="16"/>
            <w:lang w:val="en-GB"/>
            <w14:ligatures w14:val="standardContextual"/>
          </w:rPr>
          <w:instrText xml:space="preserve"> PAGE   \* MERGEFORMAT </w:instrText>
        </w:r>
        <w:r w:rsidRPr="00082298">
          <w:rPr>
            <w:rFonts w:eastAsia="Calibri" w:cs="Times New Roman"/>
            <w:b/>
            <w:bCs/>
            <w:color w:val="2274B5"/>
            <w:kern w:val="2"/>
            <w:sz w:val="16"/>
            <w:szCs w:val="16"/>
            <w:lang w:val="en-GB"/>
            <w14:ligatures w14:val="standardContextual"/>
          </w:rPr>
          <w:fldChar w:fldCharType="separate"/>
        </w:r>
        <w:r>
          <w:rPr>
            <w:rFonts w:eastAsia="Calibri" w:cs="Times New Roman"/>
            <w:b/>
            <w:bCs/>
            <w:color w:val="2274B5"/>
            <w:kern w:val="2"/>
            <w:sz w:val="16"/>
            <w:szCs w:val="16"/>
            <w:lang w:val="en-GB"/>
            <w14:ligatures w14:val="standardContextual"/>
          </w:rPr>
          <w:t>2</w:t>
        </w:r>
        <w:r w:rsidRPr="00082298">
          <w:rPr>
            <w:rFonts w:eastAsia="Calibri" w:cs="Times New Roman"/>
            <w:b/>
            <w:bCs/>
            <w:noProof/>
            <w:color w:val="2274B5"/>
            <w:kern w:val="2"/>
            <w:sz w:val="16"/>
            <w:szCs w:val="16"/>
            <w:lang w:val="en-GB"/>
            <w14:ligatures w14:val="standardContextual"/>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AE3D1" w14:textId="115D9E0E" w:rsidR="00B9518D" w:rsidRPr="00A5742F" w:rsidRDefault="00B9518D" w:rsidP="00B9518D">
    <w:pPr>
      <w:pStyle w:val="Footer"/>
      <w:tabs>
        <w:tab w:val="clear" w:pos="4513"/>
      </w:tabs>
      <w:jc w:val="right"/>
    </w:pPr>
    <w:r>
      <w:tab/>
    </w:r>
  </w:p>
  <w:p w14:paraId="15F2C622" w14:textId="77777777" w:rsidR="00827AC3" w:rsidRPr="00827AC3" w:rsidRDefault="00827AC3" w:rsidP="00B9518D">
    <w:pPr>
      <w:spacing w:before="0" w:after="0"/>
      <w:rPr>
        <w:b/>
        <w:bCs/>
        <w:color w:val="E1E8F6" w:themeColor="background1"/>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FB35B" w14:textId="77777777" w:rsidR="00914291" w:rsidRPr="00353575" w:rsidRDefault="00914291" w:rsidP="00353575">
      <w:pPr>
        <w:spacing w:before="0" w:line="240" w:lineRule="auto"/>
        <w:rPr>
          <w:color w:val="1B598C" w:themeColor="text1"/>
        </w:rPr>
      </w:pPr>
      <w:r w:rsidRPr="00353575">
        <w:rPr>
          <w:color w:val="1B598C" w:themeColor="text1"/>
        </w:rPr>
        <w:separator/>
      </w:r>
    </w:p>
  </w:footnote>
  <w:footnote w:type="continuationSeparator" w:id="0">
    <w:p w14:paraId="12DE0AD6" w14:textId="77777777" w:rsidR="00914291" w:rsidRDefault="00914291" w:rsidP="00AF1C73">
      <w:r>
        <w:continuationSeparator/>
      </w:r>
    </w:p>
    <w:p w14:paraId="6B52742E" w14:textId="77777777" w:rsidR="00914291" w:rsidRDefault="00914291"/>
  </w:footnote>
  <w:footnote w:type="continuationNotice" w:id="1">
    <w:p w14:paraId="10197F01" w14:textId="77777777" w:rsidR="00914291" w:rsidRDefault="00914291">
      <w:pPr>
        <w:spacing w:before="0" w:after="0" w:line="240" w:lineRule="auto"/>
      </w:pPr>
    </w:p>
    <w:p w14:paraId="3D2A12A5" w14:textId="77777777" w:rsidR="00914291" w:rsidRDefault="009142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9EFA2" w14:textId="3592E8AA" w:rsidR="00034C98" w:rsidRDefault="00A44AA8">
    <w:pPr>
      <w:pStyle w:val="Header"/>
    </w:pPr>
    <w:r>
      <w:rPr>
        <w:noProof/>
      </w:rPr>
      <mc:AlternateContent>
        <mc:Choice Requires="wps">
          <w:drawing>
            <wp:anchor distT="0" distB="0" distL="0" distR="0" simplePos="0" relativeHeight="251658240" behindDoc="0" locked="0" layoutInCell="1" allowOverlap="1" wp14:anchorId="5FF4953A" wp14:editId="504941F9">
              <wp:simplePos x="635" y="635"/>
              <wp:positionH relativeFrom="page">
                <wp:align>center</wp:align>
              </wp:positionH>
              <wp:positionV relativeFrom="page">
                <wp:align>top</wp:align>
              </wp:positionV>
              <wp:extent cx="622300" cy="621665"/>
              <wp:effectExtent l="0" t="0" r="6350" b="6985"/>
              <wp:wrapNone/>
              <wp:docPr id="56915103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621665"/>
                      </a:xfrm>
                      <a:prstGeom prst="rect">
                        <a:avLst/>
                      </a:prstGeom>
                      <a:noFill/>
                      <a:ln>
                        <a:noFill/>
                      </a:ln>
                    </wps:spPr>
                    <wps:txbx>
                      <w:txbxContent>
                        <w:p w14:paraId="3A88844C" w14:textId="22482C5B" w:rsidR="00A44AA8" w:rsidRPr="00A44AA8" w:rsidRDefault="00A44AA8" w:rsidP="00A44AA8">
                          <w:pPr>
                            <w:spacing w:after="0"/>
                            <w:rPr>
                              <w:rFonts w:ascii="Aptos" w:eastAsia="Aptos" w:hAnsi="Aptos" w:cs="Aptos"/>
                              <w:noProof/>
                              <w:color w:val="FF0000"/>
                            </w:rPr>
                          </w:pPr>
                          <w:r w:rsidRPr="00A44AA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F4953A" id="_x0000_t202" coordsize="21600,21600" o:spt="202" path="m,l,21600r21600,l21600,xe">
              <v:stroke joinstyle="miter"/>
              <v:path gradientshapeok="t" o:connecttype="rect"/>
            </v:shapetype>
            <v:shape id="Text Box 9" o:spid="_x0000_s1026" type="#_x0000_t202" alt="OFFICIAL" style="position:absolute;margin-left:0;margin-top:0;width:49pt;height:48.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" filled="f" stroked="f">
              <v:textbox style="mso-fit-shape-to-text:t" inset="0,15pt,0,0">
                <w:txbxContent>
                  <w:p w14:paraId="3A88844C" w14:textId="22482C5B" w:rsidR="00A44AA8" w:rsidRPr="00A44AA8" w:rsidRDefault="00A44AA8" w:rsidP="00A44AA8">
                    <w:pPr>
                      <w:spacing w:after="0"/>
                      <w:rPr>
                        <w:rFonts w:ascii="Aptos" w:eastAsia="Aptos" w:hAnsi="Aptos" w:cs="Aptos"/>
                        <w:noProof/>
                        <w:color w:val="FF0000"/>
                      </w:rPr>
                    </w:pPr>
                    <w:r w:rsidRPr="00A44AA8">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155BE"/>
    <w:multiLevelType w:val="hybridMultilevel"/>
    <w:tmpl w:val="B3C0811E"/>
    <w:lvl w:ilvl="0" w:tplc="DD54876C">
      <w:start w:val="1"/>
      <w:numFmt w:val="decimal"/>
      <w:pStyle w:val="ListParagraph"/>
      <w:lvlText w:val="%1."/>
      <w:lvlJc w:val="left"/>
      <w:pPr>
        <w:ind w:left="720" w:hanging="360"/>
      </w:pPr>
      <w:rPr>
        <w:rFonts w:ascii="Work Sans" w:hAnsi="Work Sans" w:hint="default"/>
        <w:color w:val="1B598C" w:themeColor="text1"/>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0820029"/>
    <w:multiLevelType w:val="multilevel"/>
    <w:tmpl w:val="717C2BE4"/>
    <w:lvl w:ilvl="0">
      <w:start w:val="1"/>
      <w:numFmt w:val="decimal"/>
      <w:pStyle w:val="Heading1Numbered"/>
      <w:lvlText w:val="%1."/>
      <w:lvlJc w:val="left"/>
      <w:pPr>
        <w:ind w:left="567" w:hanging="567"/>
      </w:pPr>
      <w:rPr>
        <w:rFonts w:hint="default"/>
      </w:rPr>
    </w:lvl>
    <w:lvl w:ilvl="1">
      <w:start w:val="1"/>
      <w:numFmt w:val="decimal"/>
      <w:pStyle w:val="Heading2Numbered"/>
      <w:lvlText w:val="%2."/>
      <w:lvlJc w:val="left"/>
      <w:pPr>
        <w:ind w:left="567" w:hanging="567"/>
      </w:pPr>
      <w:rPr>
        <w:rFonts w:hint="default"/>
      </w:rPr>
    </w:lvl>
    <w:lvl w:ilvl="2">
      <w:start w:val="1"/>
      <w:numFmt w:val="decimal"/>
      <w:pStyle w:val="Heading3Numbered"/>
      <w:lvlText w:val="%2.%3"/>
      <w:lvlJc w:val="left"/>
      <w:pPr>
        <w:ind w:left="851" w:hanging="851"/>
      </w:pPr>
      <w:rPr>
        <w:rFonts w:hint="default"/>
      </w:rPr>
    </w:lvl>
    <w:lvl w:ilvl="3">
      <w:start w:val="1"/>
      <w:numFmt w:val="decimal"/>
      <w:lvlText w:val="%4."/>
      <w:lvlJc w:val="left"/>
      <w:pPr>
        <w:ind w:left="0" w:hanging="567"/>
      </w:pPr>
      <w:rPr>
        <w:rFonts w:hint="default"/>
        <w:color w:val="E1E8F6" w:themeColor="background1"/>
      </w:rPr>
    </w:lvl>
    <w:lvl w:ilvl="4">
      <w:start w:val="1"/>
      <w:numFmt w:val="decimal"/>
      <w:lvlText w:val="%5."/>
      <w:lvlJc w:val="left"/>
      <w:pPr>
        <w:ind w:left="0" w:hanging="567"/>
      </w:pPr>
      <w:rPr>
        <w:rFonts w:hint="default"/>
        <w:color w:val="E1E8F6" w:themeColor="background1"/>
      </w:rPr>
    </w:lvl>
    <w:lvl w:ilvl="5">
      <w:start w:val="1"/>
      <w:numFmt w:val="decimal"/>
      <w:lvlText w:val="%6."/>
      <w:lvlJc w:val="left"/>
      <w:pPr>
        <w:ind w:left="0" w:hanging="567"/>
      </w:pPr>
      <w:rPr>
        <w:rFonts w:hint="default"/>
        <w:color w:val="E1E8F6" w:themeColor="background1"/>
      </w:rPr>
    </w:lvl>
    <w:lvl w:ilvl="6">
      <w:start w:val="1"/>
      <w:numFmt w:val="decimal"/>
      <w:lvlRestart w:val="2"/>
      <w:lvlText w:val="%2.%7"/>
      <w:lvlJc w:val="left"/>
      <w:pPr>
        <w:ind w:left="567" w:hanging="56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0B056D5"/>
    <w:multiLevelType w:val="multilevel"/>
    <w:tmpl w:val="0809001D"/>
    <w:styleLink w:val="Style1"/>
    <w:lvl w:ilvl="0">
      <w:start w:val="1"/>
      <w:numFmt w:val="lowerLetter"/>
      <w:lvlText w:val="%1)"/>
      <w:lvlJc w:val="left"/>
      <w:pPr>
        <w:ind w:left="360" w:hanging="360"/>
      </w:pPr>
      <w:rPr>
        <w:rFonts w:ascii="Campaign Medium" w:hAnsi="Campaign Medium"/>
        <w:b w:val="0"/>
        <w:i w:val="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9F1618D"/>
    <w:multiLevelType w:val="multilevel"/>
    <w:tmpl w:val="03D44B4A"/>
    <w:styleLink w:val="List1Numbered"/>
    <w:lvl w:ilvl="0">
      <w:start w:val="1"/>
      <w:numFmt w:val="decimal"/>
      <w:pStyle w:val="List1Numbered1"/>
      <w:lvlText w:val="%1."/>
      <w:lvlJc w:val="left"/>
      <w:pPr>
        <w:ind w:left="567" w:hanging="567"/>
      </w:pPr>
      <w:rPr>
        <w:rFonts w:hint="default"/>
        <w:b w:val="0"/>
        <w:i w:val="0"/>
        <w:color w:val="auto"/>
      </w:rPr>
    </w:lvl>
    <w:lvl w:ilvl="1">
      <w:start w:val="1"/>
      <w:numFmt w:val="lowerLetter"/>
      <w:pStyle w:val="List1Numbered2"/>
      <w:lvlText w:val="%2."/>
      <w:lvlJc w:val="left"/>
      <w:pPr>
        <w:ind w:left="1134" w:hanging="567"/>
      </w:pPr>
      <w:rPr>
        <w:rFonts w:hint="default"/>
      </w:rPr>
    </w:lvl>
    <w:lvl w:ilvl="2">
      <w:start w:val="1"/>
      <w:numFmt w:val="lowerRoman"/>
      <w:pStyle w:val="List1Numbered3"/>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 w15:restartNumberingAfterBreak="0">
    <w:nsid w:val="1CC862E1"/>
    <w:multiLevelType w:val="multilevel"/>
    <w:tmpl w:val="E7484CDC"/>
    <w:styleLink w:val="FigureNumbers"/>
    <w:lvl w:ilvl="0">
      <w:start w:val="1"/>
      <w:numFmt w:val="decimal"/>
      <w:pStyle w:val="FigureTitle"/>
      <w:lvlText w:val="Figure %1."/>
      <w:lvlJc w:val="left"/>
      <w:pPr>
        <w:ind w:left="1134" w:hanging="1134"/>
      </w:pPr>
      <w:rPr>
        <w:rFonts w:hint="default"/>
        <w:b/>
        <w:i w:val="0"/>
        <w:caps w:val="0"/>
        <w:color w:val="19B1C3"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0336ADE"/>
    <w:multiLevelType w:val="multilevel"/>
    <w:tmpl w:val="131EEC6C"/>
    <w:styleLink w:val="TableNumbers"/>
    <w:lvl w:ilvl="0">
      <w:start w:val="1"/>
      <w:numFmt w:val="decimal"/>
      <w:lvlText w:val="Table %1."/>
      <w:lvlJc w:val="left"/>
      <w:pPr>
        <w:ind w:left="1134" w:hanging="1134"/>
      </w:pPr>
      <w:rPr>
        <w:rFonts w:hint="default"/>
        <w:b/>
        <w:i w:val="0"/>
        <w:caps w:val="0"/>
        <w:color w:val="19B1C3"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AE84364"/>
    <w:multiLevelType w:val="hybridMultilevel"/>
    <w:tmpl w:val="114A81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CAC0FB2"/>
    <w:multiLevelType w:val="hybridMultilevel"/>
    <w:tmpl w:val="A27612E4"/>
    <w:lvl w:ilvl="0" w:tplc="9BFEF040">
      <w:start w:val="1"/>
      <w:numFmt w:val="bullet"/>
      <w:lvlText w:val=""/>
      <w:lvlJc w:val="left"/>
      <w:pPr>
        <w:ind w:left="720" w:hanging="360"/>
      </w:pPr>
      <w:rPr>
        <w:rFonts w:ascii="Symbol" w:hAnsi="Symbol" w:hint="default"/>
        <w:color w:val="2274B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C36214F"/>
    <w:multiLevelType w:val="multilevel"/>
    <w:tmpl w:val="0809001D"/>
    <w:styleLink w:val="ABC"/>
    <w:lvl w:ilvl="0">
      <w:start w:val="1"/>
      <w:numFmt w:val="lowerLetter"/>
      <w:lvlText w:val="%1)"/>
      <w:lvlJc w:val="left"/>
      <w:pPr>
        <w:ind w:left="360" w:hanging="360"/>
      </w:pPr>
      <w:rPr>
        <w:rFonts w:ascii="Campaign Medium" w:hAnsi="Campaign Medium"/>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1207FF8"/>
    <w:multiLevelType w:val="multilevel"/>
    <w:tmpl w:val="D9B21888"/>
    <w:lvl w:ilvl="0">
      <w:start w:val="1"/>
      <w:numFmt w:val="bullet"/>
      <w:pStyle w:val="Bullet1"/>
      <w:lvlText w:val=""/>
      <w:lvlJc w:val="left"/>
      <w:pPr>
        <w:ind w:left="360" w:hanging="360"/>
      </w:pPr>
      <w:rPr>
        <w:rFonts w:ascii="Symbol" w:hAnsi="Symbol" w:hint="default"/>
        <w:color w:val="2274B5"/>
      </w:rPr>
    </w:lvl>
    <w:lvl w:ilvl="1">
      <w:start w:val="1"/>
      <w:numFmt w:val="bullet"/>
      <w:lvlText w:val="–"/>
      <w:lvlJc w:val="left"/>
      <w:pPr>
        <w:ind w:left="1134" w:hanging="567"/>
      </w:pPr>
      <w:rPr>
        <w:rFonts w:ascii="Arial" w:hAnsi="Arial" w:hint="default"/>
        <w:color w:val="auto"/>
      </w:rPr>
    </w:lvl>
    <w:lvl w:ilvl="2">
      <w:start w:val="1"/>
      <w:numFmt w:val="bullet"/>
      <w:pStyle w:val="Bullet3"/>
      <w:lvlText w:val="»"/>
      <w:lvlJc w:val="left"/>
      <w:pPr>
        <w:ind w:left="1701" w:hanging="567"/>
      </w:pPr>
      <w:rPr>
        <w:rFonts w:ascii="Arial" w:hAnsi="Arial" w:hint="default"/>
        <w:color w:val="auto"/>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 w15:restartNumberingAfterBreak="0">
    <w:nsid w:val="60CE07D5"/>
    <w:multiLevelType w:val="multilevel"/>
    <w:tmpl w:val="03D44B4A"/>
    <w:numStyleLink w:val="List1Numbered"/>
  </w:abstractNum>
  <w:abstractNum w:abstractNumId="11" w15:restartNumberingAfterBreak="0">
    <w:nsid w:val="65205612"/>
    <w:multiLevelType w:val="hybridMultilevel"/>
    <w:tmpl w:val="9AEAA330"/>
    <w:lvl w:ilvl="0" w:tplc="F030EAE6">
      <w:start w:val="1"/>
      <w:numFmt w:val="bullet"/>
      <w:pStyle w:val="Bullet2"/>
      <w:lvlText w:val="o"/>
      <w:lvlJc w:val="left"/>
      <w:pPr>
        <w:ind w:left="1287" w:hanging="360"/>
      </w:pPr>
      <w:rPr>
        <w:rFonts w:ascii="Courier New" w:hAnsi="Courier New" w:cs="Courier New" w:hint="default"/>
        <w:color w:val="1B598C" w:themeColor="text1"/>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2" w15:restartNumberingAfterBreak="0">
    <w:nsid w:val="69291F25"/>
    <w:multiLevelType w:val="hybridMultilevel"/>
    <w:tmpl w:val="052A9FEC"/>
    <w:lvl w:ilvl="0" w:tplc="9C96C518">
      <w:start w:val="1"/>
      <w:numFmt w:val="bullet"/>
      <w:pStyle w:val="Bullets"/>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decimal"/>
      <w:lvlText w:val="%4."/>
      <w:lvlJc w:val="left"/>
      <w:pPr>
        <w:ind w:left="2880" w:hanging="360"/>
      </w:pPr>
      <w:rPr>
        <w:rFont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00D6AD1"/>
    <w:multiLevelType w:val="hybridMultilevel"/>
    <w:tmpl w:val="62944508"/>
    <w:lvl w:ilvl="0" w:tplc="9BFEF040">
      <w:start w:val="1"/>
      <w:numFmt w:val="bullet"/>
      <w:lvlText w:val=""/>
      <w:lvlJc w:val="left"/>
      <w:pPr>
        <w:ind w:left="720" w:hanging="360"/>
      </w:pPr>
      <w:rPr>
        <w:rFonts w:ascii="Symbol" w:hAnsi="Symbol" w:hint="default"/>
        <w:color w:val="2274B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257496A"/>
    <w:multiLevelType w:val="hybridMultilevel"/>
    <w:tmpl w:val="38BE5FC4"/>
    <w:lvl w:ilvl="0" w:tplc="0C090001">
      <w:start w:val="1"/>
      <w:numFmt w:val="bullet"/>
      <w:lvlText w:val=""/>
      <w:lvlJc w:val="left"/>
      <w:pPr>
        <w:ind w:left="795" w:hanging="360"/>
      </w:pPr>
      <w:rPr>
        <w:rFonts w:ascii="Symbol" w:hAnsi="Symbol" w:hint="default"/>
      </w:rPr>
    </w:lvl>
    <w:lvl w:ilvl="1" w:tplc="0C090003">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15" w15:restartNumberingAfterBreak="0">
    <w:nsid w:val="738A4D83"/>
    <w:multiLevelType w:val="multilevel"/>
    <w:tmpl w:val="A76C644E"/>
    <w:styleLink w:val="DefaultBullets"/>
    <w:lvl w:ilvl="0">
      <w:start w:val="1"/>
      <w:numFmt w:val="bullet"/>
      <w:lvlText w:val=""/>
      <w:lvlJc w:val="left"/>
      <w:pPr>
        <w:ind w:left="567" w:hanging="567"/>
      </w:pPr>
      <w:rPr>
        <w:rFonts w:ascii="Symbol" w:hAnsi="Symbol" w:hint="default"/>
        <w:color w:val="auto"/>
      </w:rPr>
    </w:lvl>
    <w:lvl w:ilvl="1">
      <w:start w:val="1"/>
      <w:numFmt w:val="bullet"/>
      <w:lvlText w:val="–"/>
      <w:lvlJc w:val="left"/>
      <w:pPr>
        <w:ind w:left="1134" w:hanging="567"/>
      </w:pPr>
      <w:rPr>
        <w:rFonts w:ascii="Arial" w:hAnsi="Arial" w:hint="default"/>
        <w:color w:val="auto"/>
      </w:rPr>
    </w:lvl>
    <w:lvl w:ilvl="2">
      <w:start w:val="1"/>
      <w:numFmt w:val="bullet"/>
      <w:lvlText w:val="»"/>
      <w:lvlJc w:val="left"/>
      <w:pPr>
        <w:ind w:left="1701" w:hanging="567"/>
      </w:pPr>
      <w:rPr>
        <w:rFonts w:ascii="Arial" w:hAnsi="Arial" w:hint="default"/>
        <w:color w:val="auto"/>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 w15:restartNumberingAfterBreak="0">
    <w:nsid w:val="7BF42344"/>
    <w:multiLevelType w:val="multilevel"/>
    <w:tmpl w:val="29C82EC4"/>
    <w:styleLink w:val="IndentLists"/>
    <w:lvl w:ilvl="0">
      <w:start w:val="1"/>
      <w:numFmt w:val="bullet"/>
      <w:pStyle w:val="IndentBullet1"/>
      <w:lvlText w:val=""/>
      <w:lvlJc w:val="left"/>
      <w:pPr>
        <w:ind w:left="927" w:hanging="360"/>
      </w:pPr>
      <w:rPr>
        <w:rFonts w:ascii="Symbol" w:hAnsi="Symbol" w:hint="default"/>
        <w:color w:val="2F3A48" w:themeColor="text2"/>
      </w:rPr>
    </w:lvl>
    <w:lvl w:ilvl="1">
      <w:start w:val="1"/>
      <w:numFmt w:val="bullet"/>
      <w:pStyle w:val="IndentBullet2"/>
      <w:lvlText w:val="–"/>
      <w:lvlJc w:val="left"/>
      <w:pPr>
        <w:ind w:left="1247" w:hanging="340"/>
      </w:pPr>
      <w:rPr>
        <w:rFonts w:ascii="Verdana" w:hAnsi="Verdana" w:hint="default"/>
        <w:color w:val="2F3A48" w:themeColor="text2"/>
      </w:rPr>
    </w:lvl>
    <w:lvl w:ilvl="2">
      <w:start w:val="1"/>
      <w:numFmt w:val="lowerLetter"/>
      <w:pStyle w:val="IndentList1Alpha"/>
      <w:lvlText w:val="%3)"/>
      <w:lvlJc w:val="left"/>
      <w:pPr>
        <w:ind w:left="907" w:hanging="340"/>
      </w:pPr>
      <w:rPr>
        <w:rFonts w:hint="default"/>
      </w:rPr>
    </w:lvl>
    <w:lvl w:ilvl="3">
      <w:start w:val="1"/>
      <w:numFmt w:val="lowerRoman"/>
      <w:pStyle w:val="IndentList2Roman"/>
      <w:lvlText w:val="%4)"/>
      <w:lvlJc w:val="left"/>
      <w:pPr>
        <w:ind w:left="1247"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69577570">
    <w:abstractNumId w:val="2"/>
  </w:num>
  <w:num w:numId="2" w16cid:durableId="751391560">
    <w:abstractNumId w:val="8"/>
  </w:num>
  <w:num w:numId="3" w16cid:durableId="1803230332">
    <w:abstractNumId w:val="15"/>
  </w:num>
  <w:num w:numId="4" w16cid:durableId="1598634007">
    <w:abstractNumId w:val="16"/>
    <w:lvlOverride w:ilvl="0">
      <w:lvl w:ilvl="0">
        <w:start w:val="1"/>
        <w:numFmt w:val="bullet"/>
        <w:pStyle w:val="IndentBullet1"/>
        <w:lvlText w:val=""/>
        <w:lvlJc w:val="left"/>
        <w:pPr>
          <w:ind w:left="927" w:hanging="360"/>
        </w:pPr>
        <w:rPr>
          <w:rFonts w:ascii="Symbol" w:hAnsi="Symbol" w:hint="default"/>
          <w:color w:val="1B598C" w:themeColor="text1"/>
        </w:rPr>
      </w:lvl>
    </w:lvlOverride>
  </w:num>
  <w:num w:numId="5" w16cid:durableId="414018646">
    <w:abstractNumId w:val="3"/>
  </w:num>
  <w:num w:numId="6" w16cid:durableId="1688947829">
    <w:abstractNumId w:val="10"/>
    <w:lvlOverride w:ilvl="0">
      <w:lvl w:ilvl="0">
        <w:start w:val="1"/>
        <w:numFmt w:val="decimal"/>
        <w:pStyle w:val="List1Numbered1"/>
        <w:lvlText w:val="%1."/>
        <w:lvlJc w:val="left"/>
        <w:pPr>
          <w:ind w:left="360" w:hanging="360"/>
        </w:pPr>
        <w:rPr>
          <w:rFonts w:hint="default"/>
          <w:color w:val="1B598C" w:themeColor="text1"/>
        </w:rPr>
      </w:lvl>
    </w:lvlOverride>
    <w:lvlOverride w:ilvl="1">
      <w:lvl w:ilvl="1">
        <w:start w:val="1"/>
        <w:numFmt w:val="lowerLetter"/>
        <w:pStyle w:val="List1Numbered2"/>
        <w:lvlText w:val="%2."/>
        <w:lvlJc w:val="left"/>
        <w:pPr>
          <w:ind w:left="1080" w:hanging="360"/>
        </w:pPr>
      </w:lvl>
    </w:lvlOverride>
    <w:lvlOverride w:ilvl="2">
      <w:lvl w:ilvl="2" w:tentative="1">
        <w:start w:val="1"/>
        <w:numFmt w:val="lowerRoman"/>
        <w:pStyle w:val="List1Numbered3"/>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7" w16cid:durableId="1419906449">
    <w:abstractNumId w:val="5"/>
  </w:num>
  <w:num w:numId="8" w16cid:durableId="1165629172">
    <w:abstractNumId w:val="4"/>
  </w:num>
  <w:num w:numId="9" w16cid:durableId="876695187">
    <w:abstractNumId w:val="12"/>
  </w:num>
  <w:num w:numId="10" w16cid:durableId="1898054836">
    <w:abstractNumId w:val="0"/>
  </w:num>
  <w:num w:numId="11" w16cid:durableId="2136562860">
    <w:abstractNumId w:val="1"/>
  </w:num>
  <w:num w:numId="12" w16cid:durableId="1977756572">
    <w:abstractNumId w:val="9"/>
  </w:num>
  <w:num w:numId="13" w16cid:durableId="445202197">
    <w:abstractNumId w:val="16"/>
  </w:num>
  <w:num w:numId="14" w16cid:durableId="1789622586">
    <w:abstractNumId w:val="13"/>
  </w:num>
  <w:num w:numId="15" w16cid:durableId="1166897083">
    <w:abstractNumId w:val="7"/>
  </w:num>
  <w:num w:numId="16" w16cid:durableId="2067532649">
    <w:abstractNumId w:val="14"/>
  </w:num>
  <w:num w:numId="17" w16cid:durableId="2111004523">
    <w:abstractNumId w:val="0"/>
    <w:lvlOverride w:ilvl="0">
      <w:startOverride w:val="1"/>
    </w:lvlOverride>
  </w:num>
  <w:num w:numId="18" w16cid:durableId="1655791392">
    <w:abstractNumId w:val="6"/>
  </w:num>
  <w:num w:numId="19" w16cid:durableId="481234780">
    <w:abstractNumId w:val="0"/>
    <w:lvlOverride w:ilvl="0">
      <w:startOverride w:val="1"/>
    </w:lvlOverride>
  </w:num>
  <w:num w:numId="20" w16cid:durableId="1619949252">
    <w:abstractNumId w:val="4"/>
    <w:lvlOverride w:ilvl="0">
      <w:lvl w:ilvl="0">
        <w:start w:val="1"/>
        <w:numFmt w:val="decimal"/>
        <w:pStyle w:val="FigureTitle"/>
        <w:lvlText w:val="Figure %1."/>
        <w:lvlJc w:val="left"/>
        <w:pPr>
          <w:ind w:left="1134" w:hanging="1134"/>
        </w:pPr>
        <w:rPr>
          <w:rFonts w:hint="default"/>
          <w:b/>
          <w:bCs w:val="0"/>
          <w:i w:val="0"/>
          <w:caps w:val="0"/>
          <w:color w:val="19B1C3" w:themeColor="accent2"/>
        </w:rPr>
      </w:lvl>
    </w:lvlOverride>
  </w:num>
  <w:num w:numId="21" w16cid:durableId="1718771163">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saveSubsetFonts/>
  <w:gutterAtTop/>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B46"/>
    <w:rsid w:val="00000416"/>
    <w:rsid w:val="00000533"/>
    <w:rsid w:val="00001A0D"/>
    <w:rsid w:val="00001B8D"/>
    <w:rsid w:val="000028F4"/>
    <w:rsid w:val="0000356A"/>
    <w:rsid w:val="00003888"/>
    <w:rsid w:val="00003EA9"/>
    <w:rsid w:val="00004AFE"/>
    <w:rsid w:val="00005953"/>
    <w:rsid w:val="0000634B"/>
    <w:rsid w:val="00006D8D"/>
    <w:rsid w:val="00007FF9"/>
    <w:rsid w:val="00010051"/>
    <w:rsid w:val="00010D78"/>
    <w:rsid w:val="00011926"/>
    <w:rsid w:val="000119D5"/>
    <w:rsid w:val="00012A82"/>
    <w:rsid w:val="00012D6F"/>
    <w:rsid w:val="00013864"/>
    <w:rsid w:val="00013B0C"/>
    <w:rsid w:val="00014346"/>
    <w:rsid w:val="00014662"/>
    <w:rsid w:val="000155FB"/>
    <w:rsid w:val="00015D89"/>
    <w:rsid w:val="00016860"/>
    <w:rsid w:val="00016CA7"/>
    <w:rsid w:val="0001717A"/>
    <w:rsid w:val="00017910"/>
    <w:rsid w:val="000211E6"/>
    <w:rsid w:val="000218EC"/>
    <w:rsid w:val="00021CD2"/>
    <w:rsid w:val="0002275A"/>
    <w:rsid w:val="000229A4"/>
    <w:rsid w:val="000230DB"/>
    <w:rsid w:val="00023441"/>
    <w:rsid w:val="00023948"/>
    <w:rsid w:val="000253DA"/>
    <w:rsid w:val="00026260"/>
    <w:rsid w:val="00026A3A"/>
    <w:rsid w:val="000279F9"/>
    <w:rsid w:val="0003005E"/>
    <w:rsid w:val="00030BF4"/>
    <w:rsid w:val="000319AE"/>
    <w:rsid w:val="0003206A"/>
    <w:rsid w:val="00032300"/>
    <w:rsid w:val="0003255A"/>
    <w:rsid w:val="000326A9"/>
    <w:rsid w:val="000330B2"/>
    <w:rsid w:val="0003322F"/>
    <w:rsid w:val="00033742"/>
    <w:rsid w:val="00034654"/>
    <w:rsid w:val="00034C98"/>
    <w:rsid w:val="00035204"/>
    <w:rsid w:val="000358D2"/>
    <w:rsid w:val="00035D24"/>
    <w:rsid w:val="0003642F"/>
    <w:rsid w:val="00037217"/>
    <w:rsid w:val="00040383"/>
    <w:rsid w:val="0004048A"/>
    <w:rsid w:val="000411AA"/>
    <w:rsid w:val="00041289"/>
    <w:rsid w:val="00041EE3"/>
    <w:rsid w:val="00042712"/>
    <w:rsid w:val="000441A4"/>
    <w:rsid w:val="00044F98"/>
    <w:rsid w:val="00045D9F"/>
    <w:rsid w:val="00045ED7"/>
    <w:rsid w:val="00046611"/>
    <w:rsid w:val="00046E99"/>
    <w:rsid w:val="00046F08"/>
    <w:rsid w:val="00047434"/>
    <w:rsid w:val="000474F9"/>
    <w:rsid w:val="00047851"/>
    <w:rsid w:val="000479C0"/>
    <w:rsid w:val="00047B4D"/>
    <w:rsid w:val="000514F8"/>
    <w:rsid w:val="00051EDD"/>
    <w:rsid w:val="00051FAB"/>
    <w:rsid w:val="00052372"/>
    <w:rsid w:val="000526BE"/>
    <w:rsid w:val="00053219"/>
    <w:rsid w:val="0005347E"/>
    <w:rsid w:val="00053F9B"/>
    <w:rsid w:val="00055F47"/>
    <w:rsid w:val="00056609"/>
    <w:rsid w:val="00057064"/>
    <w:rsid w:val="0006174C"/>
    <w:rsid w:val="00062D9F"/>
    <w:rsid w:val="000638AB"/>
    <w:rsid w:val="00064008"/>
    <w:rsid w:val="000657A9"/>
    <w:rsid w:val="00065E97"/>
    <w:rsid w:val="0006626D"/>
    <w:rsid w:val="0006691D"/>
    <w:rsid w:val="00066D47"/>
    <w:rsid w:val="00067AEA"/>
    <w:rsid w:val="00070124"/>
    <w:rsid w:val="00070B9E"/>
    <w:rsid w:val="00070BDE"/>
    <w:rsid w:val="000712A5"/>
    <w:rsid w:val="000713D9"/>
    <w:rsid w:val="0007170A"/>
    <w:rsid w:val="00071EB2"/>
    <w:rsid w:val="000721B0"/>
    <w:rsid w:val="0007373D"/>
    <w:rsid w:val="000739B6"/>
    <w:rsid w:val="0007421B"/>
    <w:rsid w:val="00074925"/>
    <w:rsid w:val="00075931"/>
    <w:rsid w:val="00075E50"/>
    <w:rsid w:val="0007693E"/>
    <w:rsid w:val="00076B69"/>
    <w:rsid w:val="00076C88"/>
    <w:rsid w:val="00077E4A"/>
    <w:rsid w:val="00080013"/>
    <w:rsid w:val="00080242"/>
    <w:rsid w:val="000806BD"/>
    <w:rsid w:val="000826ED"/>
    <w:rsid w:val="000833D0"/>
    <w:rsid w:val="00084810"/>
    <w:rsid w:val="00085051"/>
    <w:rsid w:val="000859F4"/>
    <w:rsid w:val="00085D69"/>
    <w:rsid w:val="00085ECF"/>
    <w:rsid w:val="00086846"/>
    <w:rsid w:val="000901BF"/>
    <w:rsid w:val="0009089D"/>
    <w:rsid w:val="00090C17"/>
    <w:rsid w:val="00092325"/>
    <w:rsid w:val="00092D37"/>
    <w:rsid w:val="00094544"/>
    <w:rsid w:val="0009481E"/>
    <w:rsid w:val="00095B34"/>
    <w:rsid w:val="00095B5B"/>
    <w:rsid w:val="00095C7B"/>
    <w:rsid w:val="0009784A"/>
    <w:rsid w:val="00097D51"/>
    <w:rsid w:val="000A0086"/>
    <w:rsid w:val="000A04F9"/>
    <w:rsid w:val="000A1129"/>
    <w:rsid w:val="000A2B41"/>
    <w:rsid w:val="000A35E5"/>
    <w:rsid w:val="000A6051"/>
    <w:rsid w:val="000A6A42"/>
    <w:rsid w:val="000A6CAB"/>
    <w:rsid w:val="000A6E6E"/>
    <w:rsid w:val="000A78D7"/>
    <w:rsid w:val="000A7FF6"/>
    <w:rsid w:val="000B0855"/>
    <w:rsid w:val="000B0A1F"/>
    <w:rsid w:val="000B1ECB"/>
    <w:rsid w:val="000B2540"/>
    <w:rsid w:val="000B2DA4"/>
    <w:rsid w:val="000B3B01"/>
    <w:rsid w:val="000B3D26"/>
    <w:rsid w:val="000B443D"/>
    <w:rsid w:val="000B476F"/>
    <w:rsid w:val="000B658C"/>
    <w:rsid w:val="000B6EB6"/>
    <w:rsid w:val="000B7B93"/>
    <w:rsid w:val="000C10B6"/>
    <w:rsid w:val="000C1334"/>
    <w:rsid w:val="000C1BD3"/>
    <w:rsid w:val="000C218A"/>
    <w:rsid w:val="000C44F2"/>
    <w:rsid w:val="000C4823"/>
    <w:rsid w:val="000C503B"/>
    <w:rsid w:val="000C506C"/>
    <w:rsid w:val="000C55D6"/>
    <w:rsid w:val="000C5D02"/>
    <w:rsid w:val="000C6089"/>
    <w:rsid w:val="000C6321"/>
    <w:rsid w:val="000C6329"/>
    <w:rsid w:val="000C634F"/>
    <w:rsid w:val="000C6451"/>
    <w:rsid w:val="000C7247"/>
    <w:rsid w:val="000D03CA"/>
    <w:rsid w:val="000D05DF"/>
    <w:rsid w:val="000D0E38"/>
    <w:rsid w:val="000D12F5"/>
    <w:rsid w:val="000D41F3"/>
    <w:rsid w:val="000D45F7"/>
    <w:rsid w:val="000D4C99"/>
    <w:rsid w:val="000D56B3"/>
    <w:rsid w:val="000D6050"/>
    <w:rsid w:val="000D64BC"/>
    <w:rsid w:val="000D6E72"/>
    <w:rsid w:val="000D6E97"/>
    <w:rsid w:val="000D6F58"/>
    <w:rsid w:val="000DBFB3"/>
    <w:rsid w:val="000E04CC"/>
    <w:rsid w:val="000E0A76"/>
    <w:rsid w:val="000E0F9C"/>
    <w:rsid w:val="000E172F"/>
    <w:rsid w:val="000E1AA7"/>
    <w:rsid w:val="000E1B2D"/>
    <w:rsid w:val="000E240C"/>
    <w:rsid w:val="000E3223"/>
    <w:rsid w:val="000E32C2"/>
    <w:rsid w:val="000E3363"/>
    <w:rsid w:val="000E34D3"/>
    <w:rsid w:val="000E3A4A"/>
    <w:rsid w:val="000E3D9F"/>
    <w:rsid w:val="000E44FB"/>
    <w:rsid w:val="000E4514"/>
    <w:rsid w:val="000E544A"/>
    <w:rsid w:val="000E6767"/>
    <w:rsid w:val="000E7D7E"/>
    <w:rsid w:val="000E7DE2"/>
    <w:rsid w:val="000F090B"/>
    <w:rsid w:val="000F0DDA"/>
    <w:rsid w:val="000F144C"/>
    <w:rsid w:val="000F1918"/>
    <w:rsid w:val="000F1E88"/>
    <w:rsid w:val="000F2019"/>
    <w:rsid w:val="000F209B"/>
    <w:rsid w:val="000F2E70"/>
    <w:rsid w:val="000F2FA3"/>
    <w:rsid w:val="000F36D0"/>
    <w:rsid w:val="000F372B"/>
    <w:rsid w:val="000F37A3"/>
    <w:rsid w:val="000F39A0"/>
    <w:rsid w:val="000F39F3"/>
    <w:rsid w:val="000F3B0F"/>
    <w:rsid w:val="000F3B48"/>
    <w:rsid w:val="000F3BEA"/>
    <w:rsid w:val="000F3C42"/>
    <w:rsid w:val="000F436E"/>
    <w:rsid w:val="000F474C"/>
    <w:rsid w:val="000F47C5"/>
    <w:rsid w:val="000F5836"/>
    <w:rsid w:val="000F69A0"/>
    <w:rsid w:val="000F7D11"/>
    <w:rsid w:val="001000A4"/>
    <w:rsid w:val="00100141"/>
    <w:rsid w:val="001004AF"/>
    <w:rsid w:val="0010132F"/>
    <w:rsid w:val="001016B7"/>
    <w:rsid w:val="00102638"/>
    <w:rsid w:val="00102868"/>
    <w:rsid w:val="00102B61"/>
    <w:rsid w:val="00102D31"/>
    <w:rsid w:val="00103A2D"/>
    <w:rsid w:val="00104817"/>
    <w:rsid w:val="0010639E"/>
    <w:rsid w:val="00106FC8"/>
    <w:rsid w:val="0010732B"/>
    <w:rsid w:val="00111A29"/>
    <w:rsid w:val="00111C52"/>
    <w:rsid w:val="0011244A"/>
    <w:rsid w:val="001129B5"/>
    <w:rsid w:val="00114760"/>
    <w:rsid w:val="00114927"/>
    <w:rsid w:val="001156D6"/>
    <w:rsid w:val="001159F1"/>
    <w:rsid w:val="001160AF"/>
    <w:rsid w:val="00116313"/>
    <w:rsid w:val="001166AC"/>
    <w:rsid w:val="00116E37"/>
    <w:rsid w:val="001200D3"/>
    <w:rsid w:val="00120A36"/>
    <w:rsid w:val="00120C56"/>
    <w:rsid w:val="00121405"/>
    <w:rsid w:val="00121E57"/>
    <w:rsid w:val="0012225D"/>
    <w:rsid w:val="001223F1"/>
    <w:rsid w:val="00122655"/>
    <w:rsid w:val="001228BD"/>
    <w:rsid w:val="00122E55"/>
    <w:rsid w:val="001233FC"/>
    <w:rsid w:val="00123528"/>
    <w:rsid w:val="00123B51"/>
    <w:rsid w:val="00123E70"/>
    <w:rsid w:val="001242F6"/>
    <w:rsid w:val="001243F5"/>
    <w:rsid w:val="0012523E"/>
    <w:rsid w:val="00125AE8"/>
    <w:rsid w:val="00126A55"/>
    <w:rsid w:val="00127041"/>
    <w:rsid w:val="0012716B"/>
    <w:rsid w:val="001273AF"/>
    <w:rsid w:val="0013005F"/>
    <w:rsid w:val="00130185"/>
    <w:rsid w:val="001302EC"/>
    <w:rsid w:val="00131881"/>
    <w:rsid w:val="001326ED"/>
    <w:rsid w:val="00132E6D"/>
    <w:rsid w:val="00132FBC"/>
    <w:rsid w:val="00133D27"/>
    <w:rsid w:val="0013486C"/>
    <w:rsid w:val="001349D3"/>
    <w:rsid w:val="00135373"/>
    <w:rsid w:val="00135EFB"/>
    <w:rsid w:val="0013611A"/>
    <w:rsid w:val="0013680E"/>
    <w:rsid w:val="00137B14"/>
    <w:rsid w:val="00140916"/>
    <w:rsid w:val="00141D6B"/>
    <w:rsid w:val="00142087"/>
    <w:rsid w:val="00142903"/>
    <w:rsid w:val="0014290C"/>
    <w:rsid w:val="001429B5"/>
    <w:rsid w:val="0014309F"/>
    <w:rsid w:val="00143391"/>
    <w:rsid w:val="001438DD"/>
    <w:rsid w:val="00144642"/>
    <w:rsid w:val="001447A6"/>
    <w:rsid w:val="00146B3C"/>
    <w:rsid w:val="00146EBD"/>
    <w:rsid w:val="00147534"/>
    <w:rsid w:val="00147964"/>
    <w:rsid w:val="00150134"/>
    <w:rsid w:val="00150CC6"/>
    <w:rsid w:val="00151057"/>
    <w:rsid w:val="00151278"/>
    <w:rsid w:val="001524D6"/>
    <w:rsid w:val="00152AD6"/>
    <w:rsid w:val="00152C45"/>
    <w:rsid w:val="0015331C"/>
    <w:rsid w:val="001537B5"/>
    <w:rsid w:val="00154122"/>
    <w:rsid w:val="00154B80"/>
    <w:rsid w:val="00155335"/>
    <w:rsid w:val="00155378"/>
    <w:rsid w:val="001559DA"/>
    <w:rsid w:val="00155FEF"/>
    <w:rsid w:val="001560EC"/>
    <w:rsid w:val="0015664E"/>
    <w:rsid w:val="00157161"/>
    <w:rsid w:val="001573E7"/>
    <w:rsid w:val="00157FA0"/>
    <w:rsid w:val="00161CBC"/>
    <w:rsid w:val="001624EA"/>
    <w:rsid w:val="001634ED"/>
    <w:rsid w:val="00163540"/>
    <w:rsid w:val="00163CCD"/>
    <w:rsid w:val="0016415A"/>
    <w:rsid w:val="001641F3"/>
    <w:rsid w:val="001648CA"/>
    <w:rsid w:val="001649F1"/>
    <w:rsid w:val="00165CAE"/>
    <w:rsid w:val="00166EC3"/>
    <w:rsid w:val="001672D8"/>
    <w:rsid w:val="001675D2"/>
    <w:rsid w:val="00167AFA"/>
    <w:rsid w:val="001700C7"/>
    <w:rsid w:val="00171035"/>
    <w:rsid w:val="001710D0"/>
    <w:rsid w:val="00172435"/>
    <w:rsid w:val="001736BF"/>
    <w:rsid w:val="00173856"/>
    <w:rsid w:val="00173DE9"/>
    <w:rsid w:val="00174436"/>
    <w:rsid w:val="001746E8"/>
    <w:rsid w:val="0017471F"/>
    <w:rsid w:val="00174C88"/>
    <w:rsid w:val="001751F6"/>
    <w:rsid w:val="00175278"/>
    <w:rsid w:val="001754E4"/>
    <w:rsid w:val="001761AE"/>
    <w:rsid w:val="00178ED7"/>
    <w:rsid w:val="0018021E"/>
    <w:rsid w:val="00181153"/>
    <w:rsid w:val="00182C89"/>
    <w:rsid w:val="00183F20"/>
    <w:rsid w:val="00184B39"/>
    <w:rsid w:val="0018530E"/>
    <w:rsid w:val="00185FE7"/>
    <w:rsid w:val="00186CE2"/>
    <w:rsid w:val="001879CF"/>
    <w:rsid w:val="00187C63"/>
    <w:rsid w:val="001903D7"/>
    <w:rsid w:val="00190895"/>
    <w:rsid w:val="00190CAE"/>
    <w:rsid w:val="00191069"/>
    <w:rsid w:val="00192371"/>
    <w:rsid w:val="001924A4"/>
    <w:rsid w:val="00193207"/>
    <w:rsid w:val="00193884"/>
    <w:rsid w:val="00193F16"/>
    <w:rsid w:val="00193F18"/>
    <w:rsid w:val="0019413A"/>
    <w:rsid w:val="00194B72"/>
    <w:rsid w:val="00196A86"/>
    <w:rsid w:val="00197297"/>
    <w:rsid w:val="0019758F"/>
    <w:rsid w:val="001A0CDE"/>
    <w:rsid w:val="001A329E"/>
    <w:rsid w:val="001A409E"/>
    <w:rsid w:val="001A4735"/>
    <w:rsid w:val="001A5112"/>
    <w:rsid w:val="001A650D"/>
    <w:rsid w:val="001A67E8"/>
    <w:rsid w:val="001A691B"/>
    <w:rsid w:val="001A7627"/>
    <w:rsid w:val="001A78A0"/>
    <w:rsid w:val="001A78AD"/>
    <w:rsid w:val="001A7F47"/>
    <w:rsid w:val="001B11FD"/>
    <w:rsid w:val="001B1B71"/>
    <w:rsid w:val="001B2778"/>
    <w:rsid w:val="001B2F48"/>
    <w:rsid w:val="001B3960"/>
    <w:rsid w:val="001B45AC"/>
    <w:rsid w:val="001B4B97"/>
    <w:rsid w:val="001B54B8"/>
    <w:rsid w:val="001B5EB4"/>
    <w:rsid w:val="001B5F46"/>
    <w:rsid w:val="001C0000"/>
    <w:rsid w:val="001C041E"/>
    <w:rsid w:val="001C0493"/>
    <w:rsid w:val="001C070F"/>
    <w:rsid w:val="001C1169"/>
    <w:rsid w:val="001C172C"/>
    <w:rsid w:val="001C238B"/>
    <w:rsid w:val="001C372F"/>
    <w:rsid w:val="001C3F43"/>
    <w:rsid w:val="001C477F"/>
    <w:rsid w:val="001C4B1D"/>
    <w:rsid w:val="001C574D"/>
    <w:rsid w:val="001C5E17"/>
    <w:rsid w:val="001C608A"/>
    <w:rsid w:val="001C6E60"/>
    <w:rsid w:val="001C6EFC"/>
    <w:rsid w:val="001C7887"/>
    <w:rsid w:val="001D0EBD"/>
    <w:rsid w:val="001D0F87"/>
    <w:rsid w:val="001D1330"/>
    <w:rsid w:val="001D1352"/>
    <w:rsid w:val="001D2BEC"/>
    <w:rsid w:val="001D2DC5"/>
    <w:rsid w:val="001D4E7F"/>
    <w:rsid w:val="001D62C3"/>
    <w:rsid w:val="001D65C4"/>
    <w:rsid w:val="001D65F7"/>
    <w:rsid w:val="001D7236"/>
    <w:rsid w:val="001E03FB"/>
    <w:rsid w:val="001E0506"/>
    <w:rsid w:val="001E05B5"/>
    <w:rsid w:val="001E0A0B"/>
    <w:rsid w:val="001E0A9D"/>
    <w:rsid w:val="001E11A5"/>
    <w:rsid w:val="001E12DD"/>
    <w:rsid w:val="001E1558"/>
    <w:rsid w:val="001E189E"/>
    <w:rsid w:val="001E236F"/>
    <w:rsid w:val="001E31A3"/>
    <w:rsid w:val="001E432A"/>
    <w:rsid w:val="001E4405"/>
    <w:rsid w:val="001E51AC"/>
    <w:rsid w:val="001E5E80"/>
    <w:rsid w:val="001E62C3"/>
    <w:rsid w:val="001E64A1"/>
    <w:rsid w:val="001E678D"/>
    <w:rsid w:val="001E6854"/>
    <w:rsid w:val="001E6BE6"/>
    <w:rsid w:val="001E6FF4"/>
    <w:rsid w:val="001E74A1"/>
    <w:rsid w:val="001E7871"/>
    <w:rsid w:val="001E79D8"/>
    <w:rsid w:val="001F0917"/>
    <w:rsid w:val="001F152C"/>
    <w:rsid w:val="001F283B"/>
    <w:rsid w:val="001F2C0D"/>
    <w:rsid w:val="001F2F5C"/>
    <w:rsid w:val="001F3B10"/>
    <w:rsid w:val="001F3B93"/>
    <w:rsid w:val="001F457D"/>
    <w:rsid w:val="001F513E"/>
    <w:rsid w:val="001F5505"/>
    <w:rsid w:val="001F59C9"/>
    <w:rsid w:val="001F5DB4"/>
    <w:rsid w:val="001F5F7E"/>
    <w:rsid w:val="001F61E2"/>
    <w:rsid w:val="001F64DB"/>
    <w:rsid w:val="001F6D0D"/>
    <w:rsid w:val="001F720B"/>
    <w:rsid w:val="001F7592"/>
    <w:rsid w:val="001F7935"/>
    <w:rsid w:val="00200F3F"/>
    <w:rsid w:val="00201714"/>
    <w:rsid w:val="00201965"/>
    <w:rsid w:val="00202467"/>
    <w:rsid w:val="002024DB"/>
    <w:rsid w:val="00202917"/>
    <w:rsid w:val="00202921"/>
    <w:rsid w:val="00202C98"/>
    <w:rsid w:val="002037B6"/>
    <w:rsid w:val="00204B9C"/>
    <w:rsid w:val="00204BC5"/>
    <w:rsid w:val="0020527E"/>
    <w:rsid w:val="00205DD8"/>
    <w:rsid w:val="00206FEB"/>
    <w:rsid w:val="00207231"/>
    <w:rsid w:val="00207990"/>
    <w:rsid w:val="00207B1C"/>
    <w:rsid w:val="00210067"/>
    <w:rsid w:val="0021089B"/>
    <w:rsid w:val="00210A35"/>
    <w:rsid w:val="002120EF"/>
    <w:rsid w:val="00212287"/>
    <w:rsid w:val="002123B5"/>
    <w:rsid w:val="00212A7B"/>
    <w:rsid w:val="00212FEE"/>
    <w:rsid w:val="00213C0F"/>
    <w:rsid w:val="00213DBB"/>
    <w:rsid w:val="00213E53"/>
    <w:rsid w:val="00214987"/>
    <w:rsid w:val="002149F1"/>
    <w:rsid w:val="00215336"/>
    <w:rsid w:val="00216F1F"/>
    <w:rsid w:val="00217190"/>
    <w:rsid w:val="0021782A"/>
    <w:rsid w:val="00217F3B"/>
    <w:rsid w:val="0022022A"/>
    <w:rsid w:val="00220572"/>
    <w:rsid w:val="00220875"/>
    <w:rsid w:val="002209C8"/>
    <w:rsid w:val="00220BBC"/>
    <w:rsid w:val="00220CF2"/>
    <w:rsid w:val="00220DEE"/>
    <w:rsid w:val="00221C5F"/>
    <w:rsid w:val="00222AAC"/>
    <w:rsid w:val="00222BC5"/>
    <w:rsid w:val="0022458B"/>
    <w:rsid w:val="00224F85"/>
    <w:rsid w:val="002263B0"/>
    <w:rsid w:val="002267FC"/>
    <w:rsid w:val="00227DC6"/>
    <w:rsid w:val="002319E8"/>
    <w:rsid w:val="00231EC9"/>
    <w:rsid w:val="00232A38"/>
    <w:rsid w:val="00232CF8"/>
    <w:rsid w:val="0023303A"/>
    <w:rsid w:val="00233050"/>
    <w:rsid w:val="00233F37"/>
    <w:rsid w:val="0023458A"/>
    <w:rsid w:val="002346E0"/>
    <w:rsid w:val="00234D36"/>
    <w:rsid w:val="00234FBA"/>
    <w:rsid w:val="00235502"/>
    <w:rsid w:val="002363E8"/>
    <w:rsid w:val="00236440"/>
    <w:rsid w:val="00236710"/>
    <w:rsid w:val="0023678E"/>
    <w:rsid w:val="00236C49"/>
    <w:rsid w:val="002402FA"/>
    <w:rsid w:val="002408BB"/>
    <w:rsid w:val="00240A10"/>
    <w:rsid w:val="00240FED"/>
    <w:rsid w:val="00241BFA"/>
    <w:rsid w:val="00241D6F"/>
    <w:rsid w:val="00242BAE"/>
    <w:rsid w:val="002433B9"/>
    <w:rsid w:val="002437D4"/>
    <w:rsid w:val="00243E9A"/>
    <w:rsid w:val="00244563"/>
    <w:rsid w:val="002446C7"/>
    <w:rsid w:val="00244A36"/>
    <w:rsid w:val="0024663D"/>
    <w:rsid w:val="0024671A"/>
    <w:rsid w:val="00246C83"/>
    <w:rsid w:val="00247005"/>
    <w:rsid w:val="002504E1"/>
    <w:rsid w:val="00250706"/>
    <w:rsid w:val="002512AB"/>
    <w:rsid w:val="00251359"/>
    <w:rsid w:val="00251606"/>
    <w:rsid w:val="00252387"/>
    <w:rsid w:val="00252CC0"/>
    <w:rsid w:val="0025394E"/>
    <w:rsid w:val="0025423E"/>
    <w:rsid w:val="0025501D"/>
    <w:rsid w:val="002552D0"/>
    <w:rsid w:val="002557E7"/>
    <w:rsid w:val="002560D2"/>
    <w:rsid w:val="00257D19"/>
    <w:rsid w:val="002601E1"/>
    <w:rsid w:val="00260691"/>
    <w:rsid w:val="0026089C"/>
    <w:rsid w:val="002613CD"/>
    <w:rsid w:val="002617A3"/>
    <w:rsid w:val="0026222D"/>
    <w:rsid w:val="00262501"/>
    <w:rsid w:val="00262F97"/>
    <w:rsid w:val="00263041"/>
    <w:rsid w:val="00263172"/>
    <w:rsid w:val="0026417C"/>
    <w:rsid w:val="0026485D"/>
    <w:rsid w:val="002660E8"/>
    <w:rsid w:val="00266110"/>
    <w:rsid w:val="0026629E"/>
    <w:rsid w:val="0026685D"/>
    <w:rsid w:val="00266942"/>
    <w:rsid w:val="00267305"/>
    <w:rsid w:val="0026779E"/>
    <w:rsid w:val="002679AD"/>
    <w:rsid w:val="00267E7E"/>
    <w:rsid w:val="0027004A"/>
    <w:rsid w:val="002701F9"/>
    <w:rsid w:val="002716C3"/>
    <w:rsid w:val="00272894"/>
    <w:rsid w:val="002731DA"/>
    <w:rsid w:val="002742CC"/>
    <w:rsid w:val="002765E5"/>
    <w:rsid w:val="00276B78"/>
    <w:rsid w:val="00276C8E"/>
    <w:rsid w:val="002804A8"/>
    <w:rsid w:val="00280E23"/>
    <w:rsid w:val="00281F94"/>
    <w:rsid w:val="002825FD"/>
    <w:rsid w:val="00282A40"/>
    <w:rsid w:val="00282BC0"/>
    <w:rsid w:val="00283915"/>
    <w:rsid w:val="00283E2E"/>
    <w:rsid w:val="00285564"/>
    <w:rsid w:val="002862D7"/>
    <w:rsid w:val="00286B4E"/>
    <w:rsid w:val="00287127"/>
    <w:rsid w:val="0028734D"/>
    <w:rsid w:val="002875A4"/>
    <w:rsid w:val="00287B03"/>
    <w:rsid w:val="002901C7"/>
    <w:rsid w:val="002902D8"/>
    <w:rsid w:val="00290937"/>
    <w:rsid w:val="002912A6"/>
    <w:rsid w:val="002915AA"/>
    <w:rsid w:val="00291915"/>
    <w:rsid w:val="00291A42"/>
    <w:rsid w:val="00294496"/>
    <w:rsid w:val="00294547"/>
    <w:rsid w:val="0029462E"/>
    <w:rsid w:val="00295831"/>
    <w:rsid w:val="002961B8"/>
    <w:rsid w:val="0029695A"/>
    <w:rsid w:val="00296A04"/>
    <w:rsid w:val="0029735A"/>
    <w:rsid w:val="00297921"/>
    <w:rsid w:val="00297986"/>
    <w:rsid w:val="002A0476"/>
    <w:rsid w:val="002A18D6"/>
    <w:rsid w:val="002A1B1D"/>
    <w:rsid w:val="002A2081"/>
    <w:rsid w:val="002A3043"/>
    <w:rsid w:val="002A3A26"/>
    <w:rsid w:val="002A3B48"/>
    <w:rsid w:val="002A4A95"/>
    <w:rsid w:val="002A4BB4"/>
    <w:rsid w:val="002A519B"/>
    <w:rsid w:val="002A539A"/>
    <w:rsid w:val="002A5C54"/>
    <w:rsid w:val="002A6494"/>
    <w:rsid w:val="002A78EF"/>
    <w:rsid w:val="002A7FE4"/>
    <w:rsid w:val="002B00A1"/>
    <w:rsid w:val="002B0DBB"/>
    <w:rsid w:val="002B2D2B"/>
    <w:rsid w:val="002B2D35"/>
    <w:rsid w:val="002B3974"/>
    <w:rsid w:val="002B46AC"/>
    <w:rsid w:val="002B587F"/>
    <w:rsid w:val="002B5B14"/>
    <w:rsid w:val="002B6C44"/>
    <w:rsid w:val="002B7265"/>
    <w:rsid w:val="002C053F"/>
    <w:rsid w:val="002C0D7F"/>
    <w:rsid w:val="002C2A64"/>
    <w:rsid w:val="002C2C32"/>
    <w:rsid w:val="002C2D65"/>
    <w:rsid w:val="002C324A"/>
    <w:rsid w:val="002C3667"/>
    <w:rsid w:val="002C465D"/>
    <w:rsid w:val="002C48B9"/>
    <w:rsid w:val="002C4A36"/>
    <w:rsid w:val="002C4D1F"/>
    <w:rsid w:val="002C4E2B"/>
    <w:rsid w:val="002C528F"/>
    <w:rsid w:val="002C5800"/>
    <w:rsid w:val="002C5FCE"/>
    <w:rsid w:val="002C60E5"/>
    <w:rsid w:val="002C665D"/>
    <w:rsid w:val="002C69E8"/>
    <w:rsid w:val="002D05B3"/>
    <w:rsid w:val="002D089F"/>
    <w:rsid w:val="002D0F09"/>
    <w:rsid w:val="002D115C"/>
    <w:rsid w:val="002D15DF"/>
    <w:rsid w:val="002D1D92"/>
    <w:rsid w:val="002D2A61"/>
    <w:rsid w:val="002D2E44"/>
    <w:rsid w:val="002D3AE7"/>
    <w:rsid w:val="002D4930"/>
    <w:rsid w:val="002D510F"/>
    <w:rsid w:val="002D51F8"/>
    <w:rsid w:val="002D56D8"/>
    <w:rsid w:val="002D6117"/>
    <w:rsid w:val="002D7957"/>
    <w:rsid w:val="002D7C7E"/>
    <w:rsid w:val="002E1483"/>
    <w:rsid w:val="002E18E6"/>
    <w:rsid w:val="002E1930"/>
    <w:rsid w:val="002E1D9E"/>
    <w:rsid w:val="002E2A35"/>
    <w:rsid w:val="002E47DE"/>
    <w:rsid w:val="002E4873"/>
    <w:rsid w:val="002E4D67"/>
    <w:rsid w:val="002E5269"/>
    <w:rsid w:val="002E5472"/>
    <w:rsid w:val="002E5686"/>
    <w:rsid w:val="002E5733"/>
    <w:rsid w:val="002E7996"/>
    <w:rsid w:val="002F37E8"/>
    <w:rsid w:val="002F3C1F"/>
    <w:rsid w:val="002F45A9"/>
    <w:rsid w:val="002F4A78"/>
    <w:rsid w:val="002F53C1"/>
    <w:rsid w:val="002F577E"/>
    <w:rsid w:val="002F60B2"/>
    <w:rsid w:val="002F6218"/>
    <w:rsid w:val="002F6254"/>
    <w:rsid w:val="002F6C12"/>
    <w:rsid w:val="002F7226"/>
    <w:rsid w:val="002F757A"/>
    <w:rsid w:val="002F758C"/>
    <w:rsid w:val="00300423"/>
    <w:rsid w:val="0030074C"/>
    <w:rsid w:val="0030140F"/>
    <w:rsid w:val="00302CA2"/>
    <w:rsid w:val="00303339"/>
    <w:rsid w:val="0030472B"/>
    <w:rsid w:val="00305C75"/>
    <w:rsid w:val="00307290"/>
    <w:rsid w:val="003107F4"/>
    <w:rsid w:val="00310B89"/>
    <w:rsid w:val="0031184F"/>
    <w:rsid w:val="003133FB"/>
    <w:rsid w:val="00313597"/>
    <w:rsid w:val="003136F6"/>
    <w:rsid w:val="00313C4D"/>
    <w:rsid w:val="003140AE"/>
    <w:rsid w:val="00314D19"/>
    <w:rsid w:val="00316002"/>
    <w:rsid w:val="003175C9"/>
    <w:rsid w:val="00317C60"/>
    <w:rsid w:val="00320742"/>
    <w:rsid w:val="00321651"/>
    <w:rsid w:val="00323F20"/>
    <w:rsid w:val="003243A3"/>
    <w:rsid w:val="003248D6"/>
    <w:rsid w:val="00324F45"/>
    <w:rsid w:val="00324FA2"/>
    <w:rsid w:val="00325416"/>
    <w:rsid w:val="00325D3C"/>
    <w:rsid w:val="00326781"/>
    <w:rsid w:val="0032708E"/>
    <w:rsid w:val="00327539"/>
    <w:rsid w:val="003302B3"/>
    <w:rsid w:val="00330793"/>
    <w:rsid w:val="00330BD6"/>
    <w:rsid w:val="00331EE1"/>
    <w:rsid w:val="00332C1C"/>
    <w:rsid w:val="00332E13"/>
    <w:rsid w:val="00334844"/>
    <w:rsid w:val="00334BF3"/>
    <w:rsid w:val="00335457"/>
    <w:rsid w:val="00335548"/>
    <w:rsid w:val="00335618"/>
    <w:rsid w:val="003371CA"/>
    <w:rsid w:val="00337270"/>
    <w:rsid w:val="00337E24"/>
    <w:rsid w:val="00340516"/>
    <w:rsid w:val="0034081D"/>
    <w:rsid w:val="0034092A"/>
    <w:rsid w:val="00341682"/>
    <w:rsid w:val="00343658"/>
    <w:rsid w:val="00344102"/>
    <w:rsid w:val="003442F1"/>
    <w:rsid w:val="00344614"/>
    <w:rsid w:val="0034551C"/>
    <w:rsid w:val="0034645F"/>
    <w:rsid w:val="00346B52"/>
    <w:rsid w:val="0035145B"/>
    <w:rsid w:val="00351FA1"/>
    <w:rsid w:val="003525A9"/>
    <w:rsid w:val="003526E5"/>
    <w:rsid w:val="00352A25"/>
    <w:rsid w:val="00352F83"/>
    <w:rsid w:val="003533B8"/>
    <w:rsid w:val="00353575"/>
    <w:rsid w:val="0035375F"/>
    <w:rsid w:val="00353BD7"/>
    <w:rsid w:val="00353E86"/>
    <w:rsid w:val="00353FA4"/>
    <w:rsid w:val="003570EB"/>
    <w:rsid w:val="003600DB"/>
    <w:rsid w:val="0036119A"/>
    <w:rsid w:val="00361398"/>
    <w:rsid w:val="00361590"/>
    <w:rsid w:val="00362E00"/>
    <w:rsid w:val="0036302F"/>
    <w:rsid w:val="00363121"/>
    <w:rsid w:val="00363316"/>
    <w:rsid w:val="00363B66"/>
    <w:rsid w:val="00364B15"/>
    <w:rsid w:val="003664C0"/>
    <w:rsid w:val="0036693F"/>
    <w:rsid w:val="00366C1C"/>
    <w:rsid w:val="00367818"/>
    <w:rsid w:val="00367927"/>
    <w:rsid w:val="00367E0C"/>
    <w:rsid w:val="003702F2"/>
    <w:rsid w:val="00372137"/>
    <w:rsid w:val="00372F91"/>
    <w:rsid w:val="003734CB"/>
    <w:rsid w:val="003735B2"/>
    <w:rsid w:val="00373964"/>
    <w:rsid w:val="00374C2F"/>
    <w:rsid w:val="003755C5"/>
    <w:rsid w:val="00375EC1"/>
    <w:rsid w:val="003760B6"/>
    <w:rsid w:val="00376249"/>
    <w:rsid w:val="00376B9F"/>
    <w:rsid w:val="0037751D"/>
    <w:rsid w:val="0037762A"/>
    <w:rsid w:val="003776AA"/>
    <w:rsid w:val="003819E3"/>
    <w:rsid w:val="00381B2D"/>
    <w:rsid w:val="003836DA"/>
    <w:rsid w:val="003840DD"/>
    <w:rsid w:val="00385615"/>
    <w:rsid w:val="00385BD0"/>
    <w:rsid w:val="00385CB7"/>
    <w:rsid w:val="00386812"/>
    <w:rsid w:val="00386AB9"/>
    <w:rsid w:val="00386C02"/>
    <w:rsid w:val="003879FF"/>
    <w:rsid w:val="00391EA5"/>
    <w:rsid w:val="003920AB"/>
    <w:rsid w:val="003930B1"/>
    <w:rsid w:val="003932F1"/>
    <w:rsid w:val="0039369D"/>
    <w:rsid w:val="00393B02"/>
    <w:rsid w:val="00394428"/>
    <w:rsid w:val="00394D16"/>
    <w:rsid w:val="003951FC"/>
    <w:rsid w:val="00395995"/>
    <w:rsid w:val="00396778"/>
    <w:rsid w:val="003967B6"/>
    <w:rsid w:val="003A008A"/>
    <w:rsid w:val="003A0D2B"/>
    <w:rsid w:val="003A1162"/>
    <w:rsid w:val="003A145F"/>
    <w:rsid w:val="003A1CCE"/>
    <w:rsid w:val="003A20E2"/>
    <w:rsid w:val="003A21AE"/>
    <w:rsid w:val="003A25A9"/>
    <w:rsid w:val="003A2C95"/>
    <w:rsid w:val="003A2F02"/>
    <w:rsid w:val="003A3043"/>
    <w:rsid w:val="003A486A"/>
    <w:rsid w:val="003A4D0D"/>
    <w:rsid w:val="003A5708"/>
    <w:rsid w:val="003A5FE5"/>
    <w:rsid w:val="003A672E"/>
    <w:rsid w:val="003A6F4A"/>
    <w:rsid w:val="003A710D"/>
    <w:rsid w:val="003A7747"/>
    <w:rsid w:val="003A7D14"/>
    <w:rsid w:val="003B0071"/>
    <w:rsid w:val="003B0DD3"/>
    <w:rsid w:val="003B13B3"/>
    <w:rsid w:val="003B249B"/>
    <w:rsid w:val="003B2BCA"/>
    <w:rsid w:val="003B2CF3"/>
    <w:rsid w:val="003B34AD"/>
    <w:rsid w:val="003B3FA8"/>
    <w:rsid w:val="003B4904"/>
    <w:rsid w:val="003B4A65"/>
    <w:rsid w:val="003B4A81"/>
    <w:rsid w:val="003B4F47"/>
    <w:rsid w:val="003B5306"/>
    <w:rsid w:val="003B6225"/>
    <w:rsid w:val="003B6D88"/>
    <w:rsid w:val="003B7D20"/>
    <w:rsid w:val="003B7ED2"/>
    <w:rsid w:val="003C0443"/>
    <w:rsid w:val="003C0457"/>
    <w:rsid w:val="003C072E"/>
    <w:rsid w:val="003C0BB3"/>
    <w:rsid w:val="003C0E58"/>
    <w:rsid w:val="003C2960"/>
    <w:rsid w:val="003C35BD"/>
    <w:rsid w:val="003C4BA0"/>
    <w:rsid w:val="003C596C"/>
    <w:rsid w:val="003C5C8D"/>
    <w:rsid w:val="003C6174"/>
    <w:rsid w:val="003C647A"/>
    <w:rsid w:val="003C64B2"/>
    <w:rsid w:val="003C6D25"/>
    <w:rsid w:val="003C7949"/>
    <w:rsid w:val="003C7B21"/>
    <w:rsid w:val="003C7CE0"/>
    <w:rsid w:val="003D0A76"/>
    <w:rsid w:val="003D0DFB"/>
    <w:rsid w:val="003D128A"/>
    <w:rsid w:val="003D1EFF"/>
    <w:rsid w:val="003D2449"/>
    <w:rsid w:val="003D25EA"/>
    <w:rsid w:val="003D28F6"/>
    <w:rsid w:val="003D3644"/>
    <w:rsid w:val="003D3FA6"/>
    <w:rsid w:val="003D48FA"/>
    <w:rsid w:val="003D4CD8"/>
    <w:rsid w:val="003D5547"/>
    <w:rsid w:val="003D584C"/>
    <w:rsid w:val="003D6248"/>
    <w:rsid w:val="003D64D8"/>
    <w:rsid w:val="003D6567"/>
    <w:rsid w:val="003D6610"/>
    <w:rsid w:val="003D7D08"/>
    <w:rsid w:val="003E0E8E"/>
    <w:rsid w:val="003E1CC1"/>
    <w:rsid w:val="003E22F6"/>
    <w:rsid w:val="003E233A"/>
    <w:rsid w:val="003E2986"/>
    <w:rsid w:val="003E34DD"/>
    <w:rsid w:val="003E44E7"/>
    <w:rsid w:val="003E5195"/>
    <w:rsid w:val="003E58A6"/>
    <w:rsid w:val="003E5C94"/>
    <w:rsid w:val="003E60F6"/>
    <w:rsid w:val="003E63E8"/>
    <w:rsid w:val="003E7561"/>
    <w:rsid w:val="003E7D4F"/>
    <w:rsid w:val="003F196C"/>
    <w:rsid w:val="003F1EFB"/>
    <w:rsid w:val="003F1F9D"/>
    <w:rsid w:val="003F223C"/>
    <w:rsid w:val="003F2C73"/>
    <w:rsid w:val="003F2D39"/>
    <w:rsid w:val="003F2D3D"/>
    <w:rsid w:val="003F3490"/>
    <w:rsid w:val="003F3FE5"/>
    <w:rsid w:val="003F4D4A"/>
    <w:rsid w:val="003F522A"/>
    <w:rsid w:val="003F5D19"/>
    <w:rsid w:val="003F66B7"/>
    <w:rsid w:val="003F6CA6"/>
    <w:rsid w:val="003F7E74"/>
    <w:rsid w:val="004002CB"/>
    <w:rsid w:val="00400389"/>
    <w:rsid w:val="00400810"/>
    <w:rsid w:val="0040189F"/>
    <w:rsid w:val="00401AE1"/>
    <w:rsid w:val="00401DF7"/>
    <w:rsid w:val="0040204B"/>
    <w:rsid w:val="004022B1"/>
    <w:rsid w:val="00402763"/>
    <w:rsid w:val="00402D26"/>
    <w:rsid w:val="00402DAB"/>
    <w:rsid w:val="0040351E"/>
    <w:rsid w:val="0040418F"/>
    <w:rsid w:val="00404D5D"/>
    <w:rsid w:val="00405B36"/>
    <w:rsid w:val="004062D8"/>
    <w:rsid w:val="0040760F"/>
    <w:rsid w:val="004077F4"/>
    <w:rsid w:val="00407D87"/>
    <w:rsid w:val="004106EF"/>
    <w:rsid w:val="00413473"/>
    <w:rsid w:val="00413B8E"/>
    <w:rsid w:val="00414116"/>
    <w:rsid w:val="004145D3"/>
    <w:rsid w:val="0041506D"/>
    <w:rsid w:val="004161E3"/>
    <w:rsid w:val="00416AE0"/>
    <w:rsid w:val="0041708B"/>
    <w:rsid w:val="0042066A"/>
    <w:rsid w:val="00420714"/>
    <w:rsid w:val="00420DB8"/>
    <w:rsid w:val="004212CA"/>
    <w:rsid w:val="00421770"/>
    <w:rsid w:val="004224FE"/>
    <w:rsid w:val="004229E2"/>
    <w:rsid w:val="00423601"/>
    <w:rsid w:val="00423EEC"/>
    <w:rsid w:val="00423F1F"/>
    <w:rsid w:val="004255EA"/>
    <w:rsid w:val="00425E5B"/>
    <w:rsid w:val="0042600F"/>
    <w:rsid w:val="004276B2"/>
    <w:rsid w:val="004277C9"/>
    <w:rsid w:val="00427998"/>
    <w:rsid w:val="00427F36"/>
    <w:rsid w:val="004306F7"/>
    <w:rsid w:val="004313A5"/>
    <w:rsid w:val="00431DA7"/>
    <w:rsid w:val="004325D3"/>
    <w:rsid w:val="00432A37"/>
    <w:rsid w:val="00432B97"/>
    <w:rsid w:val="0043326E"/>
    <w:rsid w:val="00433298"/>
    <w:rsid w:val="00433834"/>
    <w:rsid w:val="00434275"/>
    <w:rsid w:val="0043429F"/>
    <w:rsid w:val="00434502"/>
    <w:rsid w:val="00434A7D"/>
    <w:rsid w:val="00434B9B"/>
    <w:rsid w:val="00437CEC"/>
    <w:rsid w:val="0044055E"/>
    <w:rsid w:val="00440ACB"/>
    <w:rsid w:val="00440F9F"/>
    <w:rsid w:val="0044355A"/>
    <w:rsid w:val="004435C8"/>
    <w:rsid w:val="004436BD"/>
    <w:rsid w:val="00443792"/>
    <w:rsid w:val="00443EEC"/>
    <w:rsid w:val="004449BC"/>
    <w:rsid w:val="00444BC1"/>
    <w:rsid w:val="00444E3A"/>
    <w:rsid w:val="0044515C"/>
    <w:rsid w:val="00445780"/>
    <w:rsid w:val="00447491"/>
    <w:rsid w:val="004478D6"/>
    <w:rsid w:val="0045003F"/>
    <w:rsid w:val="00450EB4"/>
    <w:rsid w:val="00451265"/>
    <w:rsid w:val="0045172F"/>
    <w:rsid w:val="0045199C"/>
    <w:rsid w:val="004530A0"/>
    <w:rsid w:val="004530F6"/>
    <w:rsid w:val="00453BC8"/>
    <w:rsid w:val="004544BD"/>
    <w:rsid w:val="00455393"/>
    <w:rsid w:val="00455B7B"/>
    <w:rsid w:val="0045710E"/>
    <w:rsid w:val="0045712A"/>
    <w:rsid w:val="00457D20"/>
    <w:rsid w:val="004611EE"/>
    <w:rsid w:val="00461A74"/>
    <w:rsid w:val="0046226C"/>
    <w:rsid w:val="00462399"/>
    <w:rsid w:val="0046302C"/>
    <w:rsid w:val="00463B58"/>
    <w:rsid w:val="00464187"/>
    <w:rsid w:val="004654DC"/>
    <w:rsid w:val="00465F67"/>
    <w:rsid w:val="00466853"/>
    <w:rsid w:val="0046746F"/>
    <w:rsid w:val="00470D48"/>
    <w:rsid w:val="00470EB0"/>
    <w:rsid w:val="00471040"/>
    <w:rsid w:val="00471599"/>
    <w:rsid w:val="004717A3"/>
    <w:rsid w:val="004736C2"/>
    <w:rsid w:val="00473C3C"/>
    <w:rsid w:val="004742D3"/>
    <w:rsid w:val="00474885"/>
    <w:rsid w:val="0047526B"/>
    <w:rsid w:val="00477782"/>
    <w:rsid w:val="004807C9"/>
    <w:rsid w:val="00480F48"/>
    <w:rsid w:val="00481412"/>
    <w:rsid w:val="0048294D"/>
    <w:rsid w:val="00482AFE"/>
    <w:rsid w:val="00482DCA"/>
    <w:rsid w:val="0048325F"/>
    <w:rsid w:val="00483D6C"/>
    <w:rsid w:val="00484320"/>
    <w:rsid w:val="00484B60"/>
    <w:rsid w:val="00484B98"/>
    <w:rsid w:val="00486130"/>
    <w:rsid w:val="00486274"/>
    <w:rsid w:val="0048657C"/>
    <w:rsid w:val="00487875"/>
    <w:rsid w:val="00487D73"/>
    <w:rsid w:val="004905A4"/>
    <w:rsid w:val="004915FE"/>
    <w:rsid w:val="00491761"/>
    <w:rsid w:val="00492605"/>
    <w:rsid w:val="00492E2D"/>
    <w:rsid w:val="004932B6"/>
    <w:rsid w:val="00493DAD"/>
    <w:rsid w:val="00493DD6"/>
    <w:rsid w:val="00494BF3"/>
    <w:rsid w:val="00495B58"/>
    <w:rsid w:val="004961BA"/>
    <w:rsid w:val="00497D6B"/>
    <w:rsid w:val="00497E24"/>
    <w:rsid w:val="004A028F"/>
    <w:rsid w:val="004A0EB4"/>
    <w:rsid w:val="004A1C1B"/>
    <w:rsid w:val="004A1F8C"/>
    <w:rsid w:val="004A21FC"/>
    <w:rsid w:val="004A265E"/>
    <w:rsid w:val="004A3753"/>
    <w:rsid w:val="004A4A70"/>
    <w:rsid w:val="004A4BE3"/>
    <w:rsid w:val="004A4F63"/>
    <w:rsid w:val="004A5128"/>
    <w:rsid w:val="004A57A4"/>
    <w:rsid w:val="004A7354"/>
    <w:rsid w:val="004B0044"/>
    <w:rsid w:val="004B1C28"/>
    <w:rsid w:val="004B241A"/>
    <w:rsid w:val="004B2F95"/>
    <w:rsid w:val="004B3743"/>
    <w:rsid w:val="004B4BE1"/>
    <w:rsid w:val="004B536D"/>
    <w:rsid w:val="004B5B02"/>
    <w:rsid w:val="004B5B58"/>
    <w:rsid w:val="004B6BD7"/>
    <w:rsid w:val="004C0C9D"/>
    <w:rsid w:val="004C0D9C"/>
    <w:rsid w:val="004C0DE8"/>
    <w:rsid w:val="004C0E1D"/>
    <w:rsid w:val="004C0F30"/>
    <w:rsid w:val="004C0F77"/>
    <w:rsid w:val="004C1C05"/>
    <w:rsid w:val="004C1DFB"/>
    <w:rsid w:val="004C1E97"/>
    <w:rsid w:val="004C2951"/>
    <w:rsid w:val="004C3565"/>
    <w:rsid w:val="004C3BE4"/>
    <w:rsid w:val="004C4990"/>
    <w:rsid w:val="004C621F"/>
    <w:rsid w:val="004C69BB"/>
    <w:rsid w:val="004C6AC4"/>
    <w:rsid w:val="004D0F73"/>
    <w:rsid w:val="004D0F98"/>
    <w:rsid w:val="004D19B1"/>
    <w:rsid w:val="004D279D"/>
    <w:rsid w:val="004D31B5"/>
    <w:rsid w:val="004D3B37"/>
    <w:rsid w:val="004D4B92"/>
    <w:rsid w:val="004D613D"/>
    <w:rsid w:val="004D67D4"/>
    <w:rsid w:val="004D75BA"/>
    <w:rsid w:val="004D77A5"/>
    <w:rsid w:val="004D77F0"/>
    <w:rsid w:val="004E1310"/>
    <w:rsid w:val="004E142F"/>
    <w:rsid w:val="004E4133"/>
    <w:rsid w:val="004E4C81"/>
    <w:rsid w:val="004E4EDC"/>
    <w:rsid w:val="004E5032"/>
    <w:rsid w:val="004E55CA"/>
    <w:rsid w:val="004E66BB"/>
    <w:rsid w:val="004F0005"/>
    <w:rsid w:val="004F0027"/>
    <w:rsid w:val="004F0509"/>
    <w:rsid w:val="004F0AB8"/>
    <w:rsid w:val="004F0BCD"/>
    <w:rsid w:val="004F0C9A"/>
    <w:rsid w:val="004F1043"/>
    <w:rsid w:val="004F129F"/>
    <w:rsid w:val="004F1486"/>
    <w:rsid w:val="004F170A"/>
    <w:rsid w:val="004F2C3A"/>
    <w:rsid w:val="004F3124"/>
    <w:rsid w:val="004F3312"/>
    <w:rsid w:val="004F387A"/>
    <w:rsid w:val="004F41CF"/>
    <w:rsid w:val="004F43F5"/>
    <w:rsid w:val="004F5122"/>
    <w:rsid w:val="004F52F1"/>
    <w:rsid w:val="004F648A"/>
    <w:rsid w:val="004F65DE"/>
    <w:rsid w:val="004F6789"/>
    <w:rsid w:val="005002FE"/>
    <w:rsid w:val="00500A1C"/>
    <w:rsid w:val="00500B94"/>
    <w:rsid w:val="00501569"/>
    <w:rsid w:val="00501EF7"/>
    <w:rsid w:val="0050239F"/>
    <w:rsid w:val="00504397"/>
    <w:rsid w:val="00504A3C"/>
    <w:rsid w:val="00504BAD"/>
    <w:rsid w:val="00505AD6"/>
    <w:rsid w:val="00505BC7"/>
    <w:rsid w:val="00505C3C"/>
    <w:rsid w:val="00505E20"/>
    <w:rsid w:val="005069C0"/>
    <w:rsid w:val="00507691"/>
    <w:rsid w:val="005076ED"/>
    <w:rsid w:val="00507F84"/>
    <w:rsid w:val="00510421"/>
    <w:rsid w:val="00510CC7"/>
    <w:rsid w:val="00510DED"/>
    <w:rsid w:val="00511A7F"/>
    <w:rsid w:val="0051270F"/>
    <w:rsid w:val="00512968"/>
    <w:rsid w:val="005129D1"/>
    <w:rsid w:val="00512A69"/>
    <w:rsid w:val="00513B29"/>
    <w:rsid w:val="005144B3"/>
    <w:rsid w:val="00515A0F"/>
    <w:rsid w:val="00515B72"/>
    <w:rsid w:val="005168E2"/>
    <w:rsid w:val="00516AD3"/>
    <w:rsid w:val="0051778D"/>
    <w:rsid w:val="005203D3"/>
    <w:rsid w:val="00520667"/>
    <w:rsid w:val="00520BDE"/>
    <w:rsid w:val="00520DFC"/>
    <w:rsid w:val="005213B9"/>
    <w:rsid w:val="005213F3"/>
    <w:rsid w:val="00521988"/>
    <w:rsid w:val="00521EBA"/>
    <w:rsid w:val="005225DF"/>
    <w:rsid w:val="00522D0D"/>
    <w:rsid w:val="00522DF7"/>
    <w:rsid w:val="005236BA"/>
    <w:rsid w:val="00524BA7"/>
    <w:rsid w:val="005257BE"/>
    <w:rsid w:val="0052594E"/>
    <w:rsid w:val="00525F77"/>
    <w:rsid w:val="0052670B"/>
    <w:rsid w:val="00530F1C"/>
    <w:rsid w:val="005318CB"/>
    <w:rsid w:val="00531AD3"/>
    <w:rsid w:val="00531B5B"/>
    <w:rsid w:val="00531DE5"/>
    <w:rsid w:val="00532CE2"/>
    <w:rsid w:val="00532DCF"/>
    <w:rsid w:val="00533243"/>
    <w:rsid w:val="005338C2"/>
    <w:rsid w:val="00533ED1"/>
    <w:rsid w:val="005352B1"/>
    <w:rsid w:val="00535A57"/>
    <w:rsid w:val="005362D6"/>
    <w:rsid w:val="00540BE0"/>
    <w:rsid w:val="00541AC1"/>
    <w:rsid w:val="00542764"/>
    <w:rsid w:val="00542A3D"/>
    <w:rsid w:val="00542D74"/>
    <w:rsid w:val="0054351F"/>
    <w:rsid w:val="00543531"/>
    <w:rsid w:val="0054377A"/>
    <w:rsid w:val="00543D79"/>
    <w:rsid w:val="00543EF0"/>
    <w:rsid w:val="00544149"/>
    <w:rsid w:val="0054434C"/>
    <w:rsid w:val="00544516"/>
    <w:rsid w:val="00545052"/>
    <w:rsid w:val="005450B0"/>
    <w:rsid w:val="005455B1"/>
    <w:rsid w:val="00545B71"/>
    <w:rsid w:val="00546514"/>
    <w:rsid w:val="0054659F"/>
    <w:rsid w:val="00546C60"/>
    <w:rsid w:val="0054733D"/>
    <w:rsid w:val="005505AF"/>
    <w:rsid w:val="0055078B"/>
    <w:rsid w:val="00550C63"/>
    <w:rsid w:val="00551457"/>
    <w:rsid w:val="005519E2"/>
    <w:rsid w:val="005541FB"/>
    <w:rsid w:val="00555AB5"/>
    <w:rsid w:val="00556725"/>
    <w:rsid w:val="0055697C"/>
    <w:rsid w:val="00556BAB"/>
    <w:rsid w:val="0055751E"/>
    <w:rsid w:val="00557C41"/>
    <w:rsid w:val="005602DB"/>
    <w:rsid w:val="0056073E"/>
    <w:rsid w:val="00561FA3"/>
    <w:rsid w:val="00562B63"/>
    <w:rsid w:val="00562E59"/>
    <w:rsid w:val="0056329B"/>
    <w:rsid w:val="00563E3D"/>
    <w:rsid w:val="00564831"/>
    <w:rsid w:val="00564857"/>
    <w:rsid w:val="0056594A"/>
    <w:rsid w:val="00565C11"/>
    <w:rsid w:val="0056639A"/>
    <w:rsid w:val="005667AC"/>
    <w:rsid w:val="00566DDF"/>
    <w:rsid w:val="0056745B"/>
    <w:rsid w:val="00567CCB"/>
    <w:rsid w:val="0057151E"/>
    <w:rsid w:val="00572D79"/>
    <w:rsid w:val="00572F40"/>
    <w:rsid w:val="00573C12"/>
    <w:rsid w:val="00573E61"/>
    <w:rsid w:val="00574405"/>
    <w:rsid w:val="00577B90"/>
    <w:rsid w:val="005803BC"/>
    <w:rsid w:val="0058056A"/>
    <w:rsid w:val="0058058E"/>
    <w:rsid w:val="005828F5"/>
    <w:rsid w:val="00582B64"/>
    <w:rsid w:val="00583BAD"/>
    <w:rsid w:val="00584026"/>
    <w:rsid w:val="005841C5"/>
    <w:rsid w:val="00584567"/>
    <w:rsid w:val="005848EE"/>
    <w:rsid w:val="00584EBF"/>
    <w:rsid w:val="00585253"/>
    <w:rsid w:val="00586B5F"/>
    <w:rsid w:val="00586F5B"/>
    <w:rsid w:val="00587E0B"/>
    <w:rsid w:val="0059022D"/>
    <w:rsid w:val="00592DDA"/>
    <w:rsid w:val="0059331F"/>
    <w:rsid w:val="00593A97"/>
    <w:rsid w:val="00594536"/>
    <w:rsid w:val="00595799"/>
    <w:rsid w:val="005959C4"/>
    <w:rsid w:val="00595BC6"/>
    <w:rsid w:val="005974B3"/>
    <w:rsid w:val="00597950"/>
    <w:rsid w:val="005A004D"/>
    <w:rsid w:val="005A01D3"/>
    <w:rsid w:val="005A1802"/>
    <w:rsid w:val="005A1BC4"/>
    <w:rsid w:val="005A27C6"/>
    <w:rsid w:val="005A2EFC"/>
    <w:rsid w:val="005A3234"/>
    <w:rsid w:val="005A343F"/>
    <w:rsid w:val="005A3A8A"/>
    <w:rsid w:val="005A45CD"/>
    <w:rsid w:val="005A45D4"/>
    <w:rsid w:val="005A48A9"/>
    <w:rsid w:val="005A4F43"/>
    <w:rsid w:val="005A58AB"/>
    <w:rsid w:val="005A6334"/>
    <w:rsid w:val="005A68B9"/>
    <w:rsid w:val="005A6A5D"/>
    <w:rsid w:val="005A74B0"/>
    <w:rsid w:val="005A7A93"/>
    <w:rsid w:val="005B023B"/>
    <w:rsid w:val="005B04F0"/>
    <w:rsid w:val="005B0758"/>
    <w:rsid w:val="005B0942"/>
    <w:rsid w:val="005B0A96"/>
    <w:rsid w:val="005B1771"/>
    <w:rsid w:val="005B28FF"/>
    <w:rsid w:val="005B42B1"/>
    <w:rsid w:val="005B45A6"/>
    <w:rsid w:val="005B4F7F"/>
    <w:rsid w:val="005B538A"/>
    <w:rsid w:val="005B5D16"/>
    <w:rsid w:val="005B5D21"/>
    <w:rsid w:val="005B6FBE"/>
    <w:rsid w:val="005B75CC"/>
    <w:rsid w:val="005C08EC"/>
    <w:rsid w:val="005C2D4C"/>
    <w:rsid w:val="005C2D67"/>
    <w:rsid w:val="005C3448"/>
    <w:rsid w:val="005C367A"/>
    <w:rsid w:val="005C3D4F"/>
    <w:rsid w:val="005C4AB9"/>
    <w:rsid w:val="005C642B"/>
    <w:rsid w:val="005C765D"/>
    <w:rsid w:val="005C7ECD"/>
    <w:rsid w:val="005D05E9"/>
    <w:rsid w:val="005D0814"/>
    <w:rsid w:val="005D0BAF"/>
    <w:rsid w:val="005D142F"/>
    <w:rsid w:val="005D25FD"/>
    <w:rsid w:val="005D2BCE"/>
    <w:rsid w:val="005D2D44"/>
    <w:rsid w:val="005D2E08"/>
    <w:rsid w:val="005D392A"/>
    <w:rsid w:val="005D3CDC"/>
    <w:rsid w:val="005D4812"/>
    <w:rsid w:val="005D513F"/>
    <w:rsid w:val="005D5644"/>
    <w:rsid w:val="005D6864"/>
    <w:rsid w:val="005D7288"/>
    <w:rsid w:val="005D78CC"/>
    <w:rsid w:val="005E18F9"/>
    <w:rsid w:val="005E1AE2"/>
    <w:rsid w:val="005E20E7"/>
    <w:rsid w:val="005E2C0C"/>
    <w:rsid w:val="005E31DA"/>
    <w:rsid w:val="005E3898"/>
    <w:rsid w:val="005E39E3"/>
    <w:rsid w:val="005E41A3"/>
    <w:rsid w:val="005E4EFC"/>
    <w:rsid w:val="005E7532"/>
    <w:rsid w:val="005F027D"/>
    <w:rsid w:val="005F0FD2"/>
    <w:rsid w:val="005F2102"/>
    <w:rsid w:val="005F22C3"/>
    <w:rsid w:val="005F300A"/>
    <w:rsid w:val="005F3394"/>
    <w:rsid w:val="005F36B4"/>
    <w:rsid w:val="005F38BA"/>
    <w:rsid w:val="005F4262"/>
    <w:rsid w:val="005F492E"/>
    <w:rsid w:val="005F5CB7"/>
    <w:rsid w:val="005F6763"/>
    <w:rsid w:val="005F67EC"/>
    <w:rsid w:val="005F6C6D"/>
    <w:rsid w:val="005F6C97"/>
    <w:rsid w:val="005F6F95"/>
    <w:rsid w:val="005F77C6"/>
    <w:rsid w:val="005F7944"/>
    <w:rsid w:val="005F79A0"/>
    <w:rsid w:val="005F7E4E"/>
    <w:rsid w:val="005F7EFA"/>
    <w:rsid w:val="00600663"/>
    <w:rsid w:val="006014A9"/>
    <w:rsid w:val="006016AF"/>
    <w:rsid w:val="00602E2B"/>
    <w:rsid w:val="006031EF"/>
    <w:rsid w:val="00603D41"/>
    <w:rsid w:val="00604DD3"/>
    <w:rsid w:val="00604DD9"/>
    <w:rsid w:val="00605227"/>
    <w:rsid w:val="0060532C"/>
    <w:rsid w:val="006055B9"/>
    <w:rsid w:val="0060624B"/>
    <w:rsid w:val="00606532"/>
    <w:rsid w:val="00607082"/>
    <w:rsid w:val="00607943"/>
    <w:rsid w:val="00607ABE"/>
    <w:rsid w:val="00607CE3"/>
    <w:rsid w:val="00611D0D"/>
    <w:rsid w:val="0061232B"/>
    <w:rsid w:val="00612B31"/>
    <w:rsid w:val="00613A39"/>
    <w:rsid w:val="00614AF4"/>
    <w:rsid w:val="0061561B"/>
    <w:rsid w:val="00615621"/>
    <w:rsid w:val="00615C25"/>
    <w:rsid w:val="0061626D"/>
    <w:rsid w:val="006171DA"/>
    <w:rsid w:val="0061754B"/>
    <w:rsid w:val="006179C8"/>
    <w:rsid w:val="00617C68"/>
    <w:rsid w:val="00620510"/>
    <w:rsid w:val="006206FB"/>
    <w:rsid w:val="006207C7"/>
    <w:rsid w:val="00620AE5"/>
    <w:rsid w:val="00620FA4"/>
    <w:rsid w:val="00621469"/>
    <w:rsid w:val="00621ABF"/>
    <w:rsid w:val="00622465"/>
    <w:rsid w:val="00622C66"/>
    <w:rsid w:val="00623592"/>
    <w:rsid w:val="006252D7"/>
    <w:rsid w:val="00625A67"/>
    <w:rsid w:val="00626342"/>
    <w:rsid w:val="00626C53"/>
    <w:rsid w:val="00627FF9"/>
    <w:rsid w:val="0063055A"/>
    <w:rsid w:val="0063104D"/>
    <w:rsid w:val="00631211"/>
    <w:rsid w:val="00631E49"/>
    <w:rsid w:val="00632120"/>
    <w:rsid w:val="0063291D"/>
    <w:rsid w:val="00632DFB"/>
    <w:rsid w:val="00632F67"/>
    <w:rsid w:val="006334A5"/>
    <w:rsid w:val="006339BB"/>
    <w:rsid w:val="00634168"/>
    <w:rsid w:val="006346E9"/>
    <w:rsid w:val="00635268"/>
    <w:rsid w:val="0063586F"/>
    <w:rsid w:val="00637143"/>
    <w:rsid w:val="006374B3"/>
    <w:rsid w:val="00640825"/>
    <w:rsid w:val="00641AD0"/>
    <w:rsid w:val="00641E72"/>
    <w:rsid w:val="00642D5B"/>
    <w:rsid w:val="00642D8F"/>
    <w:rsid w:val="00642DA9"/>
    <w:rsid w:val="006439EF"/>
    <w:rsid w:val="00644565"/>
    <w:rsid w:val="00644999"/>
    <w:rsid w:val="00645F69"/>
    <w:rsid w:val="00646033"/>
    <w:rsid w:val="0064671B"/>
    <w:rsid w:val="00646E72"/>
    <w:rsid w:val="00647F75"/>
    <w:rsid w:val="00650720"/>
    <w:rsid w:val="006508D6"/>
    <w:rsid w:val="00651156"/>
    <w:rsid w:val="006518D9"/>
    <w:rsid w:val="00652235"/>
    <w:rsid w:val="00653052"/>
    <w:rsid w:val="00653204"/>
    <w:rsid w:val="00654C09"/>
    <w:rsid w:val="00655284"/>
    <w:rsid w:val="00655353"/>
    <w:rsid w:val="006555FF"/>
    <w:rsid w:val="0065641B"/>
    <w:rsid w:val="00656A31"/>
    <w:rsid w:val="00656E7C"/>
    <w:rsid w:val="00656F0A"/>
    <w:rsid w:val="0065727C"/>
    <w:rsid w:val="00660305"/>
    <w:rsid w:val="00660944"/>
    <w:rsid w:val="00660C81"/>
    <w:rsid w:val="00661312"/>
    <w:rsid w:val="006625BD"/>
    <w:rsid w:val="00662E8F"/>
    <w:rsid w:val="00665511"/>
    <w:rsid w:val="006662D6"/>
    <w:rsid w:val="00667B5B"/>
    <w:rsid w:val="0067083F"/>
    <w:rsid w:val="00670BC2"/>
    <w:rsid w:val="00671349"/>
    <w:rsid w:val="0067141F"/>
    <w:rsid w:val="00671E4B"/>
    <w:rsid w:val="0067257E"/>
    <w:rsid w:val="006727CE"/>
    <w:rsid w:val="00673101"/>
    <w:rsid w:val="0067334A"/>
    <w:rsid w:val="00673F70"/>
    <w:rsid w:val="006740EC"/>
    <w:rsid w:val="00674814"/>
    <w:rsid w:val="0067496C"/>
    <w:rsid w:val="006749CF"/>
    <w:rsid w:val="00674ECB"/>
    <w:rsid w:val="00674FDE"/>
    <w:rsid w:val="0067565D"/>
    <w:rsid w:val="0067589F"/>
    <w:rsid w:val="00675A18"/>
    <w:rsid w:val="006768A6"/>
    <w:rsid w:val="00676AB8"/>
    <w:rsid w:val="00676E3A"/>
    <w:rsid w:val="00677E32"/>
    <w:rsid w:val="006809B7"/>
    <w:rsid w:val="00680BEC"/>
    <w:rsid w:val="00680C61"/>
    <w:rsid w:val="0068137C"/>
    <w:rsid w:val="00681F57"/>
    <w:rsid w:val="006821FF"/>
    <w:rsid w:val="006822A2"/>
    <w:rsid w:val="006825B8"/>
    <w:rsid w:val="006827B5"/>
    <w:rsid w:val="00683575"/>
    <w:rsid w:val="006837BD"/>
    <w:rsid w:val="00683ADD"/>
    <w:rsid w:val="0068413A"/>
    <w:rsid w:val="00684537"/>
    <w:rsid w:val="00684896"/>
    <w:rsid w:val="00684C07"/>
    <w:rsid w:val="006862E7"/>
    <w:rsid w:val="00687594"/>
    <w:rsid w:val="00687CE3"/>
    <w:rsid w:val="00687D6C"/>
    <w:rsid w:val="0069089F"/>
    <w:rsid w:val="006911AF"/>
    <w:rsid w:val="006918C8"/>
    <w:rsid w:val="00691937"/>
    <w:rsid w:val="00692310"/>
    <w:rsid w:val="00693312"/>
    <w:rsid w:val="006937AC"/>
    <w:rsid w:val="00693E57"/>
    <w:rsid w:val="006941DA"/>
    <w:rsid w:val="0069510A"/>
    <w:rsid w:val="006958DA"/>
    <w:rsid w:val="00695DC4"/>
    <w:rsid w:val="006972A1"/>
    <w:rsid w:val="0069B98A"/>
    <w:rsid w:val="006A03AA"/>
    <w:rsid w:val="006A03F3"/>
    <w:rsid w:val="006A218F"/>
    <w:rsid w:val="006A27F7"/>
    <w:rsid w:val="006A358E"/>
    <w:rsid w:val="006A4B45"/>
    <w:rsid w:val="006A4CF7"/>
    <w:rsid w:val="006A52BE"/>
    <w:rsid w:val="006A5421"/>
    <w:rsid w:val="006A5C02"/>
    <w:rsid w:val="006A65B4"/>
    <w:rsid w:val="006A68B8"/>
    <w:rsid w:val="006A7065"/>
    <w:rsid w:val="006A7141"/>
    <w:rsid w:val="006A771A"/>
    <w:rsid w:val="006B1A7C"/>
    <w:rsid w:val="006B2DB0"/>
    <w:rsid w:val="006B3425"/>
    <w:rsid w:val="006B394A"/>
    <w:rsid w:val="006B4C95"/>
    <w:rsid w:val="006B54A6"/>
    <w:rsid w:val="006B565B"/>
    <w:rsid w:val="006B5F4E"/>
    <w:rsid w:val="006B6F34"/>
    <w:rsid w:val="006B72B6"/>
    <w:rsid w:val="006B757D"/>
    <w:rsid w:val="006C15CD"/>
    <w:rsid w:val="006C2424"/>
    <w:rsid w:val="006C294C"/>
    <w:rsid w:val="006C2967"/>
    <w:rsid w:val="006C2AB5"/>
    <w:rsid w:val="006C30BB"/>
    <w:rsid w:val="006C30F7"/>
    <w:rsid w:val="006C3597"/>
    <w:rsid w:val="006C3DFD"/>
    <w:rsid w:val="006C3F9D"/>
    <w:rsid w:val="006C4170"/>
    <w:rsid w:val="006C4A3D"/>
    <w:rsid w:val="006C5C21"/>
    <w:rsid w:val="006C5DEF"/>
    <w:rsid w:val="006C7135"/>
    <w:rsid w:val="006C792E"/>
    <w:rsid w:val="006D0556"/>
    <w:rsid w:val="006D058D"/>
    <w:rsid w:val="006D0DAD"/>
    <w:rsid w:val="006D0DCD"/>
    <w:rsid w:val="006D1B11"/>
    <w:rsid w:val="006D1F16"/>
    <w:rsid w:val="006D43C1"/>
    <w:rsid w:val="006D55CB"/>
    <w:rsid w:val="006D6CC0"/>
    <w:rsid w:val="006D6F24"/>
    <w:rsid w:val="006D73A4"/>
    <w:rsid w:val="006D74BC"/>
    <w:rsid w:val="006D75DE"/>
    <w:rsid w:val="006D7A58"/>
    <w:rsid w:val="006D7DE3"/>
    <w:rsid w:val="006E1C15"/>
    <w:rsid w:val="006E1F49"/>
    <w:rsid w:val="006E25F2"/>
    <w:rsid w:val="006E27E4"/>
    <w:rsid w:val="006E2D30"/>
    <w:rsid w:val="006E31B1"/>
    <w:rsid w:val="006E34EB"/>
    <w:rsid w:val="006E3771"/>
    <w:rsid w:val="006E37CC"/>
    <w:rsid w:val="006E3AAB"/>
    <w:rsid w:val="006E3AFE"/>
    <w:rsid w:val="006E4466"/>
    <w:rsid w:val="006E4F97"/>
    <w:rsid w:val="006E5CAD"/>
    <w:rsid w:val="006E62D9"/>
    <w:rsid w:val="006E6602"/>
    <w:rsid w:val="006E7C20"/>
    <w:rsid w:val="006F0417"/>
    <w:rsid w:val="006F0849"/>
    <w:rsid w:val="006F09FA"/>
    <w:rsid w:val="006F1092"/>
    <w:rsid w:val="006F1458"/>
    <w:rsid w:val="006F1E03"/>
    <w:rsid w:val="006F2216"/>
    <w:rsid w:val="006F2825"/>
    <w:rsid w:val="006F2B0D"/>
    <w:rsid w:val="006F2E24"/>
    <w:rsid w:val="006F2F3A"/>
    <w:rsid w:val="006F31D2"/>
    <w:rsid w:val="006F3400"/>
    <w:rsid w:val="006F353A"/>
    <w:rsid w:val="006F376B"/>
    <w:rsid w:val="006F4AA2"/>
    <w:rsid w:val="006F5018"/>
    <w:rsid w:val="006F50BD"/>
    <w:rsid w:val="006F6249"/>
    <w:rsid w:val="006F6B3F"/>
    <w:rsid w:val="006F703F"/>
    <w:rsid w:val="006F716E"/>
    <w:rsid w:val="006F7374"/>
    <w:rsid w:val="006F7490"/>
    <w:rsid w:val="006F75C9"/>
    <w:rsid w:val="006F7659"/>
    <w:rsid w:val="00700AD1"/>
    <w:rsid w:val="00700C08"/>
    <w:rsid w:val="00700C4B"/>
    <w:rsid w:val="00700C9A"/>
    <w:rsid w:val="0070146C"/>
    <w:rsid w:val="00701738"/>
    <w:rsid w:val="007017E2"/>
    <w:rsid w:val="00702290"/>
    <w:rsid w:val="00702B7B"/>
    <w:rsid w:val="00703B91"/>
    <w:rsid w:val="007040F9"/>
    <w:rsid w:val="0070676B"/>
    <w:rsid w:val="00706773"/>
    <w:rsid w:val="0070703D"/>
    <w:rsid w:val="00711B46"/>
    <w:rsid w:val="00712658"/>
    <w:rsid w:val="007127FB"/>
    <w:rsid w:val="00712AD5"/>
    <w:rsid w:val="00712D82"/>
    <w:rsid w:val="00712E2C"/>
    <w:rsid w:val="007137B3"/>
    <w:rsid w:val="00713C11"/>
    <w:rsid w:val="007140DF"/>
    <w:rsid w:val="00714CEC"/>
    <w:rsid w:val="007153BC"/>
    <w:rsid w:val="00715BE0"/>
    <w:rsid w:val="00715C24"/>
    <w:rsid w:val="00715F4C"/>
    <w:rsid w:val="007163A5"/>
    <w:rsid w:val="007167A7"/>
    <w:rsid w:val="00716EF0"/>
    <w:rsid w:val="0071752F"/>
    <w:rsid w:val="0072163B"/>
    <w:rsid w:val="00722676"/>
    <w:rsid w:val="007227E4"/>
    <w:rsid w:val="007241A8"/>
    <w:rsid w:val="0072427B"/>
    <w:rsid w:val="00724557"/>
    <w:rsid w:val="00724D94"/>
    <w:rsid w:val="00724F36"/>
    <w:rsid w:val="00725269"/>
    <w:rsid w:val="007268F1"/>
    <w:rsid w:val="00726D53"/>
    <w:rsid w:val="00727053"/>
    <w:rsid w:val="00727552"/>
    <w:rsid w:val="00730201"/>
    <w:rsid w:val="00730469"/>
    <w:rsid w:val="007305BD"/>
    <w:rsid w:val="00731A62"/>
    <w:rsid w:val="0073355E"/>
    <w:rsid w:val="007336B6"/>
    <w:rsid w:val="00735497"/>
    <w:rsid w:val="00735986"/>
    <w:rsid w:val="007360E2"/>
    <w:rsid w:val="00736BEA"/>
    <w:rsid w:val="0073786F"/>
    <w:rsid w:val="00737A3C"/>
    <w:rsid w:val="00737E06"/>
    <w:rsid w:val="00740055"/>
    <w:rsid w:val="00740C02"/>
    <w:rsid w:val="007418BD"/>
    <w:rsid w:val="00741C1C"/>
    <w:rsid w:val="00742528"/>
    <w:rsid w:val="00742D23"/>
    <w:rsid w:val="00743346"/>
    <w:rsid w:val="007445A0"/>
    <w:rsid w:val="00744CD6"/>
    <w:rsid w:val="0074571E"/>
    <w:rsid w:val="0074635A"/>
    <w:rsid w:val="00746DAC"/>
    <w:rsid w:val="00746F7D"/>
    <w:rsid w:val="00747CA5"/>
    <w:rsid w:val="00750090"/>
    <w:rsid w:val="007505DB"/>
    <w:rsid w:val="0075084A"/>
    <w:rsid w:val="00751FB0"/>
    <w:rsid w:val="00753751"/>
    <w:rsid w:val="00753B5D"/>
    <w:rsid w:val="00753FFA"/>
    <w:rsid w:val="007540DF"/>
    <w:rsid w:val="007557C0"/>
    <w:rsid w:val="00756EF9"/>
    <w:rsid w:val="00757374"/>
    <w:rsid w:val="00761914"/>
    <w:rsid w:val="00762A9F"/>
    <w:rsid w:val="0076351F"/>
    <w:rsid w:val="007637FB"/>
    <w:rsid w:val="00763EF0"/>
    <w:rsid w:val="0076511E"/>
    <w:rsid w:val="00765986"/>
    <w:rsid w:val="00766F5C"/>
    <w:rsid w:val="00770008"/>
    <w:rsid w:val="007702AE"/>
    <w:rsid w:val="00770F28"/>
    <w:rsid w:val="00772C56"/>
    <w:rsid w:val="00772DCA"/>
    <w:rsid w:val="00773B00"/>
    <w:rsid w:val="00773E6F"/>
    <w:rsid w:val="007743C3"/>
    <w:rsid w:val="00774CC6"/>
    <w:rsid w:val="00776119"/>
    <w:rsid w:val="00777ECF"/>
    <w:rsid w:val="007801B5"/>
    <w:rsid w:val="00780620"/>
    <w:rsid w:val="0078088A"/>
    <w:rsid w:val="00781193"/>
    <w:rsid w:val="007813D5"/>
    <w:rsid w:val="007822F4"/>
    <w:rsid w:val="00782461"/>
    <w:rsid w:val="00782515"/>
    <w:rsid w:val="00783815"/>
    <w:rsid w:val="007849E1"/>
    <w:rsid w:val="00785373"/>
    <w:rsid w:val="00785798"/>
    <w:rsid w:val="0078660A"/>
    <w:rsid w:val="00786A4E"/>
    <w:rsid w:val="00787BE1"/>
    <w:rsid w:val="007905D7"/>
    <w:rsid w:val="00790E5E"/>
    <w:rsid w:val="00791509"/>
    <w:rsid w:val="00791769"/>
    <w:rsid w:val="00791BA1"/>
    <w:rsid w:val="00792674"/>
    <w:rsid w:val="0079288F"/>
    <w:rsid w:val="00793189"/>
    <w:rsid w:val="007942C6"/>
    <w:rsid w:val="00794563"/>
    <w:rsid w:val="00794FB9"/>
    <w:rsid w:val="007955BB"/>
    <w:rsid w:val="0079573E"/>
    <w:rsid w:val="00795B79"/>
    <w:rsid w:val="00795C15"/>
    <w:rsid w:val="0079695F"/>
    <w:rsid w:val="00796F53"/>
    <w:rsid w:val="007A1E02"/>
    <w:rsid w:val="007A1E69"/>
    <w:rsid w:val="007A2EF1"/>
    <w:rsid w:val="007A32F8"/>
    <w:rsid w:val="007A5987"/>
    <w:rsid w:val="007A6CB7"/>
    <w:rsid w:val="007A77AC"/>
    <w:rsid w:val="007A7B5B"/>
    <w:rsid w:val="007A7C01"/>
    <w:rsid w:val="007B0460"/>
    <w:rsid w:val="007B0C04"/>
    <w:rsid w:val="007B1036"/>
    <w:rsid w:val="007B1B89"/>
    <w:rsid w:val="007B2315"/>
    <w:rsid w:val="007B323D"/>
    <w:rsid w:val="007B326F"/>
    <w:rsid w:val="007B3AD2"/>
    <w:rsid w:val="007B3B9E"/>
    <w:rsid w:val="007B3FC3"/>
    <w:rsid w:val="007B5333"/>
    <w:rsid w:val="007B556A"/>
    <w:rsid w:val="007B5F88"/>
    <w:rsid w:val="007B6412"/>
    <w:rsid w:val="007B6464"/>
    <w:rsid w:val="007B6919"/>
    <w:rsid w:val="007B691E"/>
    <w:rsid w:val="007B6F67"/>
    <w:rsid w:val="007B6F97"/>
    <w:rsid w:val="007B73F0"/>
    <w:rsid w:val="007B75F3"/>
    <w:rsid w:val="007B7F45"/>
    <w:rsid w:val="007C0CCF"/>
    <w:rsid w:val="007C17E0"/>
    <w:rsid w:val="007C234E"/>
    <w:rsid w:val="007C240D"/>
    <w:rsid w:val="007C26EE"/>
    <w:rsid w:val="007C5142"/>
    <w:rsid w:val="007C52EC"/>
    <w:rsid w:val="007C5BB3"/>
    <w:rsid w:val="007C5D5A"/>
    <w:rsid w:val="007C5F2F"/>
    <w:rsid w:val="007C5FE1"/>
    <w:rsid w:val="007C61C6"/>
    <w:rsid w:val="007C627A"/>
    <w:rsid w:val="007C6EAE"/>
    <w:rsid w:val="007D11BA"/>
    <w:rsid w:val="007D1AA9"/>
    <w:rsid w:val="007D1D07"/>
    <w:rsid w:val="007D2F5B"/>
    <w:rsid w:val="007D2FC3"/>
    <w:rsid w:val="007D3728"/>
    <w:rsid w:val="007D4401"/>
    <w:rsid w:val="007D466C"/>
    <w:rsid w:val="007D46EE"/>
    <w:rsid w:val="007D4F41"/>
    <w:rsid w:val="007D50C7"/>
    <w:rsid w:val="007D50F6"/>
    <w:rsid w:val="007D563F"/>
    <w:rsid w:val="007D57F3"/>
    <w:rsid w:val="007D5E43"/>
    <w:rsid w:val="007D5E92"/>
    <w:rsid w:val="007D67EC"/>
    <w:rsid w:val="007D6D41"/>
    <w:rsid w:val="007D6EFA"/>
    <w:rsid w:val="007E0E96"/>
    <w:rsid w:val="007E17F9"/>
    <w:rsid w:val="007E2557"/>
    <w:rsid w:val="007E2716"/>
    <w:rsid w:val="007E274F"/>
    <w:rsid w:val="007E2D59"/>
    <w:rsid w:val="007E31AE"/>
    <w:rsid w:val="007E474C"/>
    <w:rsid w:val="007E4E81"/>
    <w:rsid w:val="007E4EF6"/>
    <w:rsid w:val="007E6732"/>
    <w:rsid w:val="007E7CF0"/>
    <w:rsid w:val="007E7FAB"/>
    <w:rsid w:val="007F09FC"/>
    <w:rsid w:val="007F0C1C"/>
    <w:rsid w:val="007F1CE9"/>
    <w:rsid w:val="007F2243"/>
    <w:rsid w:val="007F2605"/>
    <w:rsid w:val="007F2F9C"/>
    <w:rsid w:val="007F3054"/>
    <w:rsid w:val="007F4544"/>
    <w:rsid w:val="007F517C"/>
    <w:rsid w:val="007F6115"/>
    <w:rsid w:val="007F6E81"/>
    <w:rsid w:val="007F7100"/>
    <w:rsid w:val="007F731D"/>
    <w:rsid w:val="007F74D1"/>
    <w:rsid w:val="00800CF7"/>
    <w:rsid w:val="008019CB"/>
    <w:rsid w:val="00803A5C"/>
    <w:rsid w:val="00803C17"/>
    <w:rsid w:val="00804201"/>
    <w:rsid w:val="00804448"/>
    <w:rsid w:val="008052BF"/>
    <w:rsid w:val="00806983"/>
    <w:rsid w:val="00807A13"/>
    <w:rsid w:val="00810D6E"/>
    <w:rsid w:val="00810E47"/>
    <w:rsid w:val="00811E4B"/>
    <w:rsid w:val="00811F47"/>
    <w:rsid w:val="008120B4"/>
    <w:rsid w:val="0081268C"/>
    <w:rsid w:val="00812E1F"/>
    <w:rsid w:val="0081391E"/>
    <w:rsid w:val="00814CAE"/>
    <w:rsid w:val="008154EA"/>
    <w:rsid w:val="00815B0B"/>
    <w:rsid w:val="0081673F"/>
    <w:rsid w:val="00820330"/>
    <w:rsid w:val="00821B29"/>
    <w:rsid w:val="00821BEE"/>
    <w:rsid w:val="00822028"/>
    <w:rsid w:val="0082218E"/>
    <w:rsid w:val="00822C73"/>
    <w:rsid w:val="00823674"/>
    <w:rsid w:val="008246CB"/>
    <w:rsid w:val="00824BF3"/>
    <w:rsid w:val="00824C5F"/>
    <w:rsid w:val="0082558A"/>
    <w:rsid w:val="00825C8B"/>
    <w:rsid w:val="0082645F"/>
    <w:rsid w:val="00826602"/>
    <w:rsid w:val="00826CF1"/>
    <w:rsid w:val="008279F7"/>
    <w:rsid w:val="00827AC3"/>
    <w:rsid w:val="00830A16"/>
    <w:rsid w:val="00831237"/>
    <w:rsid w:val="00831447"/>
    <w:rsid w:val="00831478"/>
    <w:rsid w:val="008315B8"/>
    <w:rsid w:val="00831F74"/>
    <w:rsid w:val="00832D00"/>
    <w:rsid w:val="00834541"/>
    <w:rsid w:val="00834FD7"/>
    <w:rsid w:val="00835053"/>
    <w:rsid w:val="00835871"/>
    <w:rsid w:val="00835961"/>
    <w:rsid w:val="00835BE5"/>
    <w:rsid w:val="008361F1"/>
    <w:rsid w:val="008369DB"/>
    <w:rsid w:val="00836BEE"/>
    <w:rsid w:val="0083779C"/>
    <w:rsid w:val="008377F3"/>
    <w:rsid w:val="00837A5C"/>
    <w:rsid w:val="00837C6A"/>
    <w:rsid w:val="0084085E"/>
    <w:rsid w:val="00840C7C"/>
    <w:rsid w:val="00840F20"/>
    <w:rsid w:val="008412A2"/>
    <w:rsid w:val="00842E21"/>
    <w:rsid w:val="00843F5F"/>
    <w:rsid w:val="0084407A"/>
    <w:rsid w:val="008445F2"/>
    <w:rsid w:val="00844C52"/>
    <w:rsid w:val="00844C77"/>
    <w:rsid w:val="0084597C"/>
    <w:rsid w:val="00845D86"/>
    <w:rsid w:val="00846513"/>
    <w:rsid w:val="008469D1"/>
    <w:rsid w:val="00846DD5"/>
    <w:rsid w:val="00850A3E"/>
    <w:rsid w:val="00850AAC"/>
    <w:rsid w:val="00850F16"/>
    <w:rsid w:val="0085103A"/>
    <w:rsid w:val="00851D79"/>
    <w:rsid w:val="00851F5E"/>
    <w:rsid w:val="00852223"/>
    <w:rsid w:val="00852A69"/>
    <w:rsid w:val="0085394C"/>
    <w:rsid w:val="00853B71"/>
    <w:rsid w:val="00854092"/>
    <w:rsid w:val="008541F4"/>
    <w:rsid w:val="0085435E"/>
    <w:rsid w:val="00855109"/>
    <w:rsid w:val="008556F8"/>
    <w:rsid w:val="00855A25"/>
    <w:rsid w:val="00856862"/>
    <w:rsid w:val="0085C113"/>
    <w:rsid w:val="00860C6E"/>
    <w:rsid w:val="00861534"/>
    <w:rsid w:val="00861951"/>
    <w:rsid w:val="00861AA2"/>
    <w:rsid w:val="00861D19"/>
    <w:rsid w:val="00862210"/>
    <w:rsid w:val="00862A09"/>
    <w:rsid w:val="00862CBF"/>
    <w:rsid w:val="00862F10"/>
    <w:rsid w:val="008638E6"/>
    <w:rsid w:val="0086424B"/>
    <w:rsid w:val="00865410"/>
    <w:rsid w:val="0086664A"/>
    <w:rsid w:val="008668A4"/>
    <w:rsid w:val="00866C31"/>
    <w:rsid w:val="00866E52"/>
    <w:rsid w:val="00867B01"/>
    <w:rsid w:val="00870A92"/>
    <w:rsid w:val="00870F01"/>
    <w:rsid w:val="0087119D"/>
    <w:rsid w:val="008718B6"/>
    <w:rsid w:val="00872586"/>
    <w:rsid w:val="00873787"/>
    <w:rsid w:val="00873F70"/>
    <w:rsid w:val="008743B9"/>
    <w:rsid w:val="008745B1"/>
    <w:rsid w:val="008752F4"/>
    <w:rsid w:val="00875FDE"/>
    <w:rsid w:val="0087701F"/>
    <w:rsid w:val="008777AE"/>
    <w:rsid w:val="00877CA7"/>
    <w:rsid w:val="00880E82"/>
    <w:rsid w:val="00880F75"/>
    <w:rsid w:val="00881022"/>
    <w:rsid w:val="0088119F"/>
    <w:rsid w:val="0088122C"/>
    <w:rsid w:val="00881769"/>
    <w:rsid w:val="008826D9"/>
    <w:rsid w:val="00882731"/>
    <w:rsid w:val="00882EC8"/>
    <w:rsid w:val="00883FBE"/>
    <w:rsid w:val="008841B5"/>
    <w:rsid w:val="008845B4"/>
    <w:rsid w:val="008848B2"/>
    <w:rsid w:val="00884B47"/>
    <w:rsid w:val="008851BD"/>
    <w:rsid w:val="00885742"/>
    <w:rsid w:val="00885DD2"/>
    <w:rsid w:val="00886F6A"/>
    <w:rsid w:val="008907D2"/>
    <w:rsid w:val="008912B3"/>
    <w:rsid w:val="00891A07"/>
    <w:rsid w:val="00892536"/>
    <w:rsid w:val="00892834"/>
    <w:rsid w:val="00893AF0"/>
    <w:rsid w:val="00893CCC"/>
    <w:rsid w:val="0089447D"/>
    <w:rsid w:val="00895019"/>
    <w:rsid w:val="00895F79"/>
    <w:rsid w:val="008974B7"/>
    <w:rsid w:val="008A0A79"/>
    <w:rsid w:val="008A1043"/>
    <w:rsid w:val="008A1461"/>
    <w:rsid w:val="008A1E3E"/>
    <w:rsid w:val="008A2167"/>
    <w:rsid w:val="008A22AA"/>
    <w:rsid w:val="008A3CF3"/>
    <w:rsid w:val="008A476F"/>
    <w:rsid w:val="008A553F"/>
    <w:rsid w:val="008A5C12"/>
    <w:rsid w:val="008A67C3"/>
    <w:rsid w:val="008A6E81"/>
    <w:rsid w:val="008A71FE"/>
    <w:rsid w:val="008A7496"/>
    <w:rsid w:val="008B0385"/>
    <w:rsid w:val="008B0B57"/>
    <w:rsid w:val="008B0E0D"/>
    <w:rsid w:val="008B191E"/>
    <w:rsid w:val="008B1A33"/>
    <w:rsid w:val="008B2111"/>
    <w:rsid w:val="008B21A8"/>
    <w:rsid w:val="008B2B84"/>
    <w:rsid w:val="008B32A3"/>
    <w:rsid w:val="008B32CF"/>
    <w:rsid w:val="008B3442"/>
    <w:rsid w:val="008B4E43"/>
    <w:rsid w:val="008B51F8"/>
    <w:rsid w:val="008B6C6A"/>
    <w:rsid w:val="008B7029"/>
    <w:rsid w:val="008B7545"/>
    <w:rsid w:val="008B7646"/>
    <w:rsid w:val="008B76D4"/>
    <w:rsid w:val="008C06A3"/>
    <w:rsid w:val="008C0BBC"/>
    <w:rsid w:val="008C132B"/>
    <w:rsid w:val="008C1D7D"/>
    <w:rsid w:val="008C2780"/>
    <w:rsid w:val="008C29E9"/>
    <w:rsid w:val="008C2AE0"/>
    <w:rsid w:val="008C3621"/>
    <w:rsid w:val="008C37D2"/>
    <w:rsid w:val="008C5B24"/>
    <w:rsid w:val="008C6263"/>
    <w:rsid w:val="008C795B"/>
    <w:rsid w:val="008C7B3B"/>
    <w:rsid w:val="008C7E49"/>
    <w:rsid w:val="008D0166"/>
    <w:rsid w:val="008D03F5"/>
    <w:rsid w:val="008D05D9"/>
    <w:rsid w:val="008D1335"/>
    <w:rsid w:val="008D14C8"/>
    <w:rsid w:val="008D17AA"/>
    <w:rsid w:val="008D1892"/>
    <w:rsid w:val="008D28DB"/>
    <w:rsid w:val="008D2973"/>
    <w:rsid w:val="008D3028"/>
    <w:rsid w:val="008D37DF"/>
    <w:rsid w:val="008D3804"/>
    <w:rsid w:val="008D3FB4"/>
    <w:rsid w:val="008D54C1"/>
    <w:rsid w:val="008D54FA"/>
    <w:rsid w:val="008D5AD5"/>
    <w:rsid w:val="008D631D"/>
    <w:rsid w:val="008D6779"/>
    <w:rsid w:val="008D6B59"/>
    <w:rsid w:val="008D7256"/>
    <w:rsid w:val="008E00BF"/>
    <w:rsid w:val="008E19FF"/>
    <w:rsid w:val="008E1F62"/>
    <w:rsid w:val="008E232A"/>
    <w:rsid w:val="008E24C7"/>
    <w:rsid w:val="008E25E2"/>
    <w:rsid w:val="008E29FD"/>
    <w:rsid w:val="008E2EAA"/>
    <w:rsid w:val="008E3F3A"/>
    <w:rsid w:val="008E410A"/>
    <w:rsid w:val="008E56C4"/>
    <w:rsid w:val="008E5A94"/>
    <w:rsid w:val="008E5F88"/>
    <w:rsid w:val="008E6623"/>
    <w:rsid w:val="008E6639"/>
    <w:rsid w:val="008E6F6E"/>
    <w:rsid w:val="008E7578"/>
    <w:rsid w:val="008F03EE"/>
    <w:rsid w:val="008F31C2"/>
    <w:rsid w:val="008F3A92"/>
    <w:rsid w:val="008F464F"/>
    <w:rsid w:val="008F48D1"/>
    <w:rsid w:val="008F4B47"/>
    <w:rsid w:val="008F4BB1"/>
    <w:rsid w:val="008F5125"/>
    <w:rsid w:val="008F5565"/>
    <w:rsid w:val="008F56BB"/>
    <w:rsid w:val="008F57AA"/>
    <w:rsid w:val="008F5C65"/>
    <w:rsid w:val="008F6DE6"/>
    <w:rsid w:val="008F70E1"/>
    <w:rsid w:val="008F7535"/>
    <w:rsid w:val="008F76E2"/>
    <w:rsid w:val="008F78B4"/>
    <w:rsid w:val="009000BD"/>
    <w:rsid w:val="00900245"/>
    <w:rsid w:val="00900B37"/>
    <w:rsid w:val="00900B41"/>
    <w:rsid w:val="00901E7F"/>
    <w:rsid w:val="00902AFE"/>
    <w:rsid w:val="009037C4"/>
    <w:rsid w:val="00903CD6"/>
    <w:rsid w:val="009040C3"/>
    <w:rsid w:val="009042FC"/>
    <w:rsid w:val="009044CA"/>
    <w:rsid w:val="00905354"/>
    <w:rsid w:val="009061E2"/>
    <w:rsid w:val="00906A89"/>
    <w:rsid w:val="009101A0"/>
    <w:rsid w:val="00910D02"/>
    <w:rsid w:val="00911F1E"/>
    <w:rsid w:val="00911FB3"/>
    <w:rsid w:val="00912166"/>
    <w:rsid w:val="00912DC1"/>
    <w:rsid w:val="00913297"/>
    <w:rsid w:val="00913837"/>
    <w:rsid w:val="009140AA"/>
    <w:rsid w:val="00914147"/>
    <w:rsid w:val="00914208"/>
    <w:rsid w:val="00914291"/>
    <w:rsid w:val="00914487"/>
    <w:rsid w:val="009146FE"/>
    <w:rsid w:val="00915C20"/>
    <w:rsid w:val="00915F50"/>
    <w:rsid w:val="009160EF"/>
    <w:rsid w:val="00916A77"/>
    <w:rsid w:val="009179D6"/>
    <w:rsid w:val="009205F0"/>
    <w:rsid w:val="00920A75"/>
    <w:rsid w:val="00920B09"/>
    <w:rsid w:val="00921468"/>
    <w:rsid w:val="00921500"/>
    <w:rsid w:val="00921F8F"/>
    <w:rsid w:val="009228B2"/>
    <w:rsid w:val="00922926"/>
    <w:rsid w:val="00924511"/>
    <w:rsid w:val="00924592"/>
    <w:rsid w:val="009247EB"/>
    <w:rsid w:val="00925D8E"/>
    <w:rsid w:val="00925E53"/>
    <w:rsid w:val="00926883"/>
    <w:rsid w:val="00926BA0"/>
    <w:rsid w:val="00926FEE"/>
    <w:rsid w:val="0092729A"/>
    <w:rsid w:val="009272A6"/>
    <w:rsid w:val="0093012E"/>
    <w:rsid w:val="0093029F"/>
    <w:rsid w:val="0093080D"/>
    <w:rsid w:val="009308AC"/>
    <w:rsid w:val="00930FCE"/>
    <w:rsid w:val="009315A6"/>
    <w:rsid w:val="009320F7"/>
    <w:rsid w:val="009322D0"/>
    <w:rsid w:val="00932703"/>
    <w:rsid w:val="00933431"/>
    <w:rsid w:val="00933573"/>
    <w:rsid w:val="00933916"/>
    <w:rsid w:val="0093408B"/>
    <w:rsid w:val="009351D3"/>
    <w:rsid w:val="00935540"/>
    <w:rsid w:val="00936228"/>
    <w:rsid w:val="0093685F"/>
    <w:rsid w:val="009369F2"/>
    <w:rsid w:val="00936F2A"/>
    <w:rsid w:val="009401B0"/>
    <w:rsid w:val="009402CA"/>
    <w:rsid w:val="00940D5A"/>
    <w:rsid w:val="00941782"/>
    <w:rsid w:val="00941FE8"/>
    <w:rsid w:val="009425A2"/>
    <w:rsid w:val="00942FEC"/>
    <w:rsid w:val="00943022"/>
    <w:rsid w:val="0094322C"/>
    <w:rsid w:val="009434C9"/>
    <w:rsid w:val="009435CF"/>
    <w:rsid w:val="00943BDE"/>
    <w:rsid w:val="00943C67"/>
    <w:rsid w:val="00943E57"/>
    <w:rsid w:val="009443C4"/>
    <w:rsid w:val="009445D1"/>
    <w:rsid w:val="0094504E"/>
    <w:rsid w:val="00945EF9"/>
    <w:rsid w:val="009465AF"/>
    <w:rsid w:val="0094662F"/>
    <w:rsid w:val="00947BB6"/>
    <w:rsid w:val="00947FBA"/>
    <w:rsid w:val="00952AF9"/>
    <w:rsid w:val="00955956"/>
    <w:rsid w:val="0095683E"/>
    <w:rsid w:val="00956BA6"/>
    <w:rsid w:val="009570FB"/>
    <w:rsid w:val="009577F8"/>
    <w:rsid w:val="00957BE2"/>
    <w:rsid w:val="00961083"/>
    <w:rsid w:val="00961E4B"/>
    <w:rsid w:val="00961EED"/>
    <w:rsid w:val="0096334D"/>
    <w:rsid w:val="00963961"/>
    <w:rsid w:val="009647F0"/>
    <w:rsid w:val="00964F32"/>
    <w:rsid w:val="00965AE4"/>
    <w:rsid w:val="009664A3"/>
    <w:rsid w:val="009666FD"/>
    <w:rsid w:val="00966EE5"/>
    <w:rsid w:val="00967884"/>
    <w:rsid w:val="00970E5E"/>
    <w:rsid w:val="0097104E"/>
    <w:rsid w:val="009712C7"/>
    <w:rsid w:val="00971E23"/>
    <w:rsid w:val="00971F99"/>
    <w:rsid w:val="00972699"/>
    <w:rsid w:val="00972D55"/>
    <w:rsid w:val="0097391D"/>
    <w:rsid w:val="00974647"/>
    <w:rsid w:val="00974854"/>
    <w:rsid w:val="00974B25"/>
    <w:rsid w:val="00974F4A"/>
    <w:rsid w:val="009750ED"/>
    <w:rsid w:val="00975B82"/>
    <w:rsid w:val="00975FC2"/>
    <w:rsid w:val="00976430"/>
    <w:rsid w:val="00976FAA"/>
    <w:rsid w:val="00977179"/>
    <w:rsid w:val="009772D9"/>
    <w:rsid w:val="00977F1E"/>
    <w:rsid w:val="009808AF"/>
    <w:rsid w:val="00980A14"/>
    <w:rsid w:val="00980BF8"/>
    <w:rsid w:val="009810A6"/>
    <w:rsid w:val="00981571"/>
    <w:rsid w:val="009817AA"/>
    <w:rsid w:val="00981DB9"/>
    <w:rsid w:val="00982434"/>
    <w:rsid w:val="0098281C"/>
    <w:rsid w:val="00982B07"/>
    <w:rsid w:val="00984A78"/>
    <w:rsid w:val="00984A91"/>
    <w:rsid w:val="00984FB4"/>
    <w:rsid w:val="00985BDA"/>
    <w:rsid w:val="009876F4"/>
    <w:rsid w:val="0099078A"/>
    <w:rsid w:val="0099098E"/>
    <w:rsid w:val="00990A6F"/>
    <w:rsid w:val="00991A14"/>
    <w:rsid w:val="00991A1C"/>
    <w:rsid w:val="00991ABA"/>
    <w:rsid w:val="00991EB7"/>
    <w:rsid w:val="00993248"/>
    <w:rsid w:val="0099425D"/>
    <w:rsid w:val="00994613"/>
    <w:rsid w:val="009946AA"/>
    <w:rsid w:val="00994FB2"/>
    <w:rsid w:val="00995619"/>
    <w:rsid w:val="009956A1"/>
    <w:rsid w:val="0099598F"/>
    <w:rsid w:val="00995B78"/>
    <w:rsid w:val="00996BC7"/>
    <w:rsid w:val="00997047"/>
    <w:rsid w:val="00997827"/>
    <w:rsid w:val="00997903"/>
    <w:rsid w:val="009A12C8"/>
    <w:rsid w:val="009A1410"/>
    <w:rsid w:val="009A1CA8"/>
    <w:rsid w:val="009A2223"/>
    <w:rsid w:val="009A23CA"/>
    <w:rsid w:val="009A289A"/>
    <w:rsid w:val="009A3929"/>
    <w:rsid w:val="009A413F"/>
    <w:rsid w:val="009A5106"/>
    <w:rsid w:val="009A575B"/>
    <w:rsid w:val="009A578A"/>
    <w:rsid w:val="009A5C7F"/>
    <w:rsid w:val="009A5F95"/>
    <w:rsid w:val="009A6920"/>
    <w:rsid w:val="009A6C64"/>
    <w:rsid w:val="009A6DEB"/>
    <w:rsid w:val="009A713C"/>
    <w:rsid w:val="009A7AF2"/>
    <w:rsid w:val="009A7E79"/>
    <w:rsid w:val="009B0BB2"/>
    <w:rsid w:val="009B10C1"/>
    <w:rsid w:val="009B284F"/>
    <w:rsid w:val="009B2EAD"/>
    <w:rsid w:val="009B3974"/>
    <w:rsid w:val="009B4EBC"/>
    <w:rsid w:val="009B701B"/>
    <w:rsid w:val="009B74D1"/>
    <w:rsid w:val="009B7F02"/>
    <w:rsid w:val="009C0A7E"/>
    <w:rsid w:val="009C0C66"/>
    <w:rsid w:val="009C187F"/>
    <w:rsid w:val="009C28D8"/>
    <w:rsid w:val="009C3D46"/>
    <w:rsid w:val="009C48FB"/>
    <w:rsid w:val="009C4B24"/>
    <w:rsid w:val="009C50EF"/>
    <w:rsid w:val="009C59AE"/>
    <w:rsid w:val="009C712E"/>
    <w:rsid w:val="009C7574"/>
    <w:rsid w:val="009C7837"/>
    <w:rsid w:val="009D0156"/>
    <w:rsid w:val="009D027B"/>
    <w:rsid w:val="009D0F8E"/>
    <w:rsid w:val="009D1842"/>
    <w:rsid w:val="009D1CAD"/>
    <w:rsid w:val="009D2705"/>
    <w:rsid w:val="009D2AB6"/>
    <w:rsid w:val="009D3780"/>
    <w:rsid w:val="009D3BE4"/>
    <w:rsid w:val="009D407A"/>
    <w:rsid w:val="009D48C1"/>
    <w:rsid w:val="009D4C72"/>
    <w:rsid w:val="009D62D0"/>
    <w:rsid w:val="009D682B"/>
    <w:rsid w:val="009D6DC5"/>
    <w:rsid w:val="009D7A3C"/>
    <w:rsid w:val="009E007B"/>
    <w:rsid w:val="009E0279"/>
    <w:rsid w:val="009E0EB7"/>
    <w:rsid w:val="009E16CB"/>
    <w:rsid w:val="009E171F"/>
    <w:rsid w:val="009E17F5"/>
    <w:rsid w:val="009E1FA2"/>
    <w:rsid w:val="009E31C0"/>
    <w:rsid w:val="009E3655"/>
    <w:rsid w:val="009E5258"/>
    <w:rsid w:val="009E5597"/>
    <w:rsid w:val="009E56C1"/>
    <w:rsid w:val="009E5FD6"/>
    <w:rsid w:val="009E6356"/>
    <w:rsid w:val="009E65DC"/>
    <w:rsid w:val="009E669C"/>
    <w:rsid w:val="009E7ADF"/>
    <w:rsid w:val="009F0BBD"/>
    <w:rsid w:val="009F1E8D"/>
    <w:rsid w:val="009F22EB"/>
    <w:rsid w:val="009F3B98"/>
    <w:rsid w:val="009F3FA3"/>
    <w:rsid w:val="009F3FA5"/>
    <w:rsid w:val="009F4667"/>
    <w:rsid w:val="009F48EB"/>
    <w:rsid w:val="009F582C"/>
    <w:rsid w:val="009F5B63"/>
    <w:rsid w:val="009F5F58"/>
    <w:rsid w:val="009F7671"/>
    <w:rsid w:val="009F79C8"/>
    <w:rsid w:val="009F7B07"/>
    <w:rsid w:val="00A0016F"/>
    <w:rsid w:val="00A00C10"/>
    <w:rsid w:val="00A00D16"/>
    <w:rsid w:val="00A00D49"/>
    <w:rsid w:val="00A02B17"/>
    <w:rsid w:val="00A032F7"/>
    <w:rsid w:val="00A041D2"/>
    <w:rsid w:val="00A049F4"/>
    <w:rsid w:val="00A052FE"/>
    <w:rsid w:val="00A05589"/>
    <w:rsid w:val="00A0559C"/>
    <w:rsid w:val="00A05664"/>
    <w:rsid w:val="00A06141"/>
    <w:rsid w:val="00A062BB"/>
    <w:rsid w:val="00A062BD"/>
    <w:rsid w:val="00A06E1C"/>
    <w:rsid w:val="00A07782"/>
    <w:rsid w:val="00A07EBC"/>
    <w:rsid w:val="00A101BE"/>
    <w:rsid w:val="00A102D8"/>
    <w:rsid w:val="00A109AA"/>
    <w:rsid w:val="00A112E1"/>
    <w:rsid w:val="00A121AE"/>
    <w:rsid w:val="00A122CD"/>
    <w:rsid w:val="00A131E6"/>
    <w:rsid w:val="00A1336D"/>
    <w:rsid w:val="00A13979"/>
    <w:rsid w:val="00A13B75"/>
    <w:rsid w:val="00A13BB7"/>
    <w:rsid w:val="00A141C7"/>
    <w:rsid w:val="00A142DE"/>
    <w:rsid w:val="00A149EC"/>
    <w:rsid w:val="00A14F22"/>
    <w:rsid w:val="00A15168"/>
    <w:rsid w:val="00A1651D"/>
    <w:rsid w:val="00A171EB"/>
    <w:rsid w:val="00A1756D"/>
    <w:rsid w:val="00A17989"/>
    <w:rsid w:val="00A17ED0"/>
    <w:rsid w:val="00A202CA"/>
    <w:rsid w:val="00A20918"/>
    <w:rsid w:val="00A20C60"/>
    <w:rsid w:val="00A211E3"/>
    <w:rsid w:val="00A21B81"/>
    <w:rsid w:val="00A2214F"/>
    <w:rsid w:val="00A234C5"/>
    <w:rsid w:val="00A240A4"/>
    <w:rsid w:val="00A2439C"/>
    <w:rsid w:val="00A246AF"/>
    <w:rsid w:val="00A25233"/>
    <w:rsid w:val="00A259BB"/>
    <w:rsid w:val="00A25C26"/>
    <w:rsid w:val="00A263AA"/>
    <w:rsid w:val="00A26535"/>
    <w:rsid w:val="00A26A04"/>
    <w:rsid w:val="00A302A4"/>
    <w:rsid w:val="00A309C1"/>
    <w:rsid w:val="00A30E2E"/>
    <w:rsid w:val="00A312D2"/>
    <w:rsid w:val="00A312D5"/>
    <w:rsid w:val="00A3261E"/>
    <w:rsid w:val="00A32F4C"/>
    <w:rsid w:val="00A33BE6"/>
    <w:rsid w:val="00A3431D"/>
    <w:rsid w:val="00A3557F"/>
    <w:rsid w:val="00A3643B"/>
    <w:rsid w:val="00A36E28"/>
    <w:rsid w:val="00A3787C"/>
    <w:rsid w:val="00A40D72"/>
    <w:rsid w:val="00A40F09"/>
    <w:rsid w:val="00A41833"/>
    <w:rsid w:val="00A41E69"/>
    <w:rsid w:val="00A426B0"/>
    <w:rsid w:val="00A42A90"/>
    <w:rsid w:val="00A44AA8"/>
    <w:rsid w:val="00A45049"/>
    <w:rsid w:val="00A4512E"/>
    <w:rsid w:val="00A452CF"/>
    <w:rsid w:val="00A46780"/>
    <w:rsid w:val="00A471B5"/>
    <w:rsid w:val="00A500F9"/>
    <w:rsid w:val="00A508E3"/>
    <w:rsid w:val="00A50D94"/>
    <w:rsid w:val="00A5103A"/>
    <w:rsid w:val="00A51358"/>
    <w:rsid w:val="00A51843"/>
    <w:rsid w:val="00A526F1"/>
    <w:rsid w:val="00A52BAB"/>
    <w:rsid w:val="00A52F85"/>
    <w:rsid w:val="00A5339F"/>
    <w:rsid w:val="00A5393B"/>
    <w:rsid w:val="00A53953"/>
    <w:rsid w:val="00A53C2B"/>
    <w:rsid w:val="00A5424D"/>
    <w:rsid w:val="00A54640"/>
    <w:rsid w:val="00A552EB"/>
    <w:rsid w:val="00A5587D"/>
    <w:rsid w:val="00A563AF"/>
    <w:rsid w:val="00A56F19"/>
    <w:rsid w:val="00A5742F"/>
    <w:rsid w:val="00A604FB"/>
    <w:rsid w:val="00A61C37"/>
    <w:rsid w:val="00A62961"/>
    <w:rsid w:val="00A634FA"/>
    <w:rsid w:val="00A63D1D"/>
    <w:rsid w:val="00A63FC7"/>
    <w:rsid w:val="00A64C6C"/>
    <w:rsid w:val="00A64C9C"/>
    <w:rsid w:val="00A65D0C"/>
    <w:rsid w:val="00A65D7A"/>
    <w:rsid w:val="00A663E1"/>
    <w:rsid w:val="00A66561"/>
    <w:rsid w:val="00A66798"/>
    <w:rsid w:val="00A66D24"/>
    <w:rsid w:val="00A67BFB"/>
    <w:rsid w:val="00A67DD9"/>
    <w:rsid w:val="00A708DE"/>
    <w:rsid w:val="00A718A1"/>
    <w:rsid w:val="00A722AD"/>
    <w:rsid w:val="00A72A69"/>
    <w:rsid w:val="00A72E83"/>
    <w:rsid w:val="00A73064"/>
    <w:rsid w:val="00A73525"/>
    <w:rsid w:val="00A73B96"/>
    <w:rsid w:val="00A74C8A"/>
    <w:rsid w:val="00A7538F"/>
    <w:rsid w:val="00A756B0"/>
    <w:rsid w:val="00A7679E"/>
    <w:rsid w:val="00A767ED"/>
    <w:rsid w:val="00A76FAD"/>
    <w:rsid w:val="00A805D8"/>
    <w:rsid w:val="00A8168B"/>
    <w:rsid w:val="00A819E0"/>
    <w:rsid w:val="00A81BF0"/>
    <w:rsid w:val="00A82873"/>
    <w:rsid w:val="00A82DD7"/>
    <w:rsid w:val="00A82E20"/>
    <w:rsid w:val="00A8329E"/>
    <w:rsid w:val="00A855AB"/>
    <w:rsid w:val="00A900A5"/>
    <w:rsid w:val="00A9041D"/>
    <w:rsid w:val="00A90AE9"/>
    <w:rsid w:val="00A91180"/>
    <w:rsid w:val="00A91C2E"/>
    <w:rsid w:val="00A91E75"/>
    <w:rsid w:val="00A94D93"/>
    <w:rsid w:val="00A94FA0"/>
    <w:rsid w:val="00A954BD"/>
    <w:rsid w:val="00A9590C"/>
    <w:rsid w:val="00A95FC3"/>
    <w:rsid w:val="00A95FF2"/>
    <w:rsid w:val="00A96D15"/>
    <w:rsid w:val="00A97C24"/>
    <w:rsid w:val="00AA06F5"/>
    <w:rsid w:val="00AA0788"/>
    <w:rsid w:val="00AA0F69"/>
    <w:rsid w:val="00AA15DC"/>
    <w:rsid w:val="00AA160D"/>
    <w:rsid w:val="00AA1941"/>
    <w:rsid w:val="00AA1DCE"/>
    <w:rsid w:val="00AA1E6B"/>
    <w:rsid w:val="00AA41E2"/>
    <w:rsid w:val="00AA4418"/>
    <w:rsid w:val="00AA4950"/>
    <w:rsid w:val="00AA66E7"/>
    <w:rsid w:val="00AA75FC"/>
    <w:rsid w:val="00AB09A9"/>
    <w:rsid w:val="00AB0D2C"/>
    <w:rsid w:val="00AB11BA"/>
    <w:rsid w:val="00AB17BA"/>
    <w:rsid w:val="00AB1DE0"/>
    <w:rsid w:val="00AB1EF5"/>
    <w:rsid w:val="00AB1FB4"/>
    <w:rsid w:val="00AB2657"/>
    <w:rsid w:val="00AB2DDC"/>
    <w:rsid w:val="00AB30AE"/>
    <w:rsid w:val="00AB334A"/>
    <w:rsid w:val="00AB3CEA"/>
    <w:rsid w:val="00AB426B"/>
    <w:rsid w:val="00AB5B2E"/>
    <w:rsid w:val="00AB5F24"/>
    <w:rsid w:val="00AB636A"/>
    <w:rsid w:val="00AB66FC"/>
    <w:rsid w:val="00AB7525"/>
    <w:rsid w:val="00AB7604"/>
    <w:rsid w:val="00AB767C"/>
    <w:rsid w:val="00AB777B"/>
    <w:rsid w:val="00AC04AA"/>
    <w:rsid w:val="00AC0B1E"/>
    <w:rsid w:val="00AC1245"/>
    <w:rsid w:val="00AC15AA"/>
    <w:rsid w:val="00AC18C3"/>
    <w:rsid w:val="00AC1A93"/>
    <w:rsid w:val="00AC1E4D"/>
    <w:rsid w:val="00AC32B9"/>
    <w:rsid w:val="00AC3F59"/>
    <w:rsid w:val="00AC404C"/>
    <w:rsid w:val="00AC41EF"/>
    <w:rsid w:val="00AC4920"/>
    <w:rsid w:val="00AC5F5A"/>
    <w:rsid w:val="00AC68F3"/>
    <w:rsid w:val="00AC7C3E"/>
    <w:rsid w:val="00AD11BD"/>
    <w:rsid w:val="00AD2496"/>
    <w:rsid w:val="00AD4D88"/>
    <w:rsid w:val="00AD5993"/>
    <w:rsid w:val="00AD5AFA"/>
    <w:rsid w:val="00AD65BA"/>
    <w:rsid w:val="00AD694F"/>
    <w:rsid w:val="00AE0878"/>
    <w:rsid w:val="00AE0D3F"/>
    <w:rsid w:val="00AE12A3"/>
    <w:rsid w:val="00AE12B4"/>
    <w:rsid w:val="00AE1673"/>
    <w:rsid w:val="00AE1CC5"/>
    <w:rsid w:val="00AE2369"/>
    <w:rsid w:val="00AE3899"/>
    <w:rsid w:val="00AE3ECB"/>
    <w:rsid w:val="00AE428C"/>
    <w:rsid w:val="00AE455E"/>
    <w:rsid w:val="00AE580A"/>
    <w:rsid w:val="00AE5978"/>
    <w:rsid w:val="00AE5D5B"/>
    <w:rsid w:val="00AE67AF"/>
    <w:rsid w:val="00AF0074"/>
    <w:rsid w:val="00AF0876"/>
    <w:rsid w:val="00AF08FC"/>
    <w:rsid w:val="00AF1C73"/>
    <w:rsid w:val="00AF2E2F"/>
    <w:rsid w:val="00AF35D5"/>
    <w:rsid w:val="00AF466B"/>
    <w:rsid w:val="00AF4986"/>
    <w:rsid w:val="00AF49DB"/>
    <w:rsid w:val="00AF4AAE"/>
    <w:rsid w:val="00AF4FE1"/>
    <w:rsid w:val="00AF575B"/>
    <w:rsid w:val="00AF5BE2"/>
    <w:rsid w:val="00AF6049"/>
    <w:rsid w:val="00AF6672"/>
    <w:rsid w:val="00B0075B"/>
    <w:rsid w:val="00B0080F"/>
    <w:rsid w:val="00B00FE5"/>
    <w:rsid w:val="00B03550"/>
    <w:rsid w:val="00B03FEE"/>
    <w:rsid w:val="00B04567"/>
    <w:rsid w:val="00B0549A"/>
    <w:rsid w:val="00B06C3C"/>
    <w:rsid w:val="00B076A0"/>
    <w:rsid w:val="00B07B60"/>
    <w:rsid w:val="00B10237"/>
    <w:rsid w:val="00B12F13"/>
    <w:rsid w:val="00B13A4E"/>
    <w:rsid w:val="00B13E30"/>
    <w:rsid w:val="00B13E7E"/>
    <w:rsid w:val="00B14283"/>
    <w:rsid w:val="00B142CF"/>
    <w:rsid w:val="00B14A0A"/>
    <w:rsid w:val="00B14E49"/>
    <w:rsid w:val="00B1526E"/>
    <w:rsid w:val="00B15898"/>
    <w:rsid w:val="00B15C81"/>
    <w:rsid w:val="00B16C8F"/>
    <w:rsid w:val="00B16D14"/>
    <w:rsid w:val="00B20031"/>
    <w:rsid w:val="00B205FA"/>
    <w:rsid w:val="00B214D1"/>
    <w:rsid w:val="00B21ABC"/>
    <w:rsid w:val="00B22523"/>
    <w:rsid w:val="00B22F40"/>
    <w:rsid w:val="00B233B7"/>
    <w:rsid w:val="00B23C9E"/>
    <w:rsid w:val="00B23F1B"/>
    <w:rsid w:val="00B24279"/>
    <w:rsid w:val="00B251CA"/>
    <w:rsid w:val="00B25E70"/>
    <w:rsid w:val="00B25EEF"/>
    <w:rsid w:val="00B267F3"/>
    <w:rsid w:val="00B26EBD"/>
    <w:rsid w:val="00B2735E"/>
    <w:rsid w:val="00B2970E"/>
    <w:rsid w:val="00B30BA9"/>
    <w:rsid w:val="00B33275"/>
    <w:rsid w:val="00B336E9"/>
    <w:rsid w:val="00B34378"/>
    <w:rsid w:val="00B34965"/>
    <w:rsid w:val="00B34B43"/>
    <w:rsid w:val="00B3525E"/>
    <w:rsid w:val="00B352D8"/>
    <w:rsid w:val="00B360FE"/>
    <w:rsid w:val="00B3664F"/>
    <w:rsid w:val="00B36A71"/>
    <w:rsid w:val="00B36E1D"/>
    <w:rsid w:val="00B37AFD"/>
    <w:rsid w:val="00B41176"/>
    <w:rsid w:val="00B415E9"/>
    <w:rsid w:val="00B41E2C"/>
    <w:rsid w:val="00B4237D"/>
    <w:rsid w:val="00B425EA"/>
    <w:rsid w:val="00B427FB"/>
    <w:rsid w:val="00B42A9E"/>
    <w:rsid w:val="00B44811"/>
    <w:rsid w:val="00B44C6B"/>
    <w:rsid w:val="00B44EAF"/>
    <w:rsid w:val="00B45DA0"/>
    <w:rsid w:val="00B464AE"/>
    <w:rsid w:val="00B468E7"/>
    <w:rsid w:val="00B4713D"/>
    <w:rsid w:val="00B500C0"/>
    <w:rsid w:val="00B50D41"/>
    <w:rsid w:val="00B51D5D"/>
    <w:rsid w:val="00B5251B"/>
    <w:rsid w:val="00B53256"/>
    <w:rsid w:val="00B53717"/>
    <w:rsid w:val="00B53FBD"/>
    <w:rsid w:val="00B53FEF"/>
    <w:rsid w:val="00B54895"/>
    <w:rsid w:val="00B54B6A"/>
    <w:rsid w:val="00B54F61"/>
    <w:rsid w:val="00B55A8A"/>
    <w:rsid w:val="00B5602D"/>
    <w:rsid w:val="00B563B2"/>
    <w:rsid w:val="00B567B6"/>
    <w:rsid w:val="00B56C80"/>
    <w:rsid w:val="00B5775D"/>
    <w:rsid w:val="00B57CED"/>
    <w:rsid w:val="00B610CC"/>
    <w:rsid w:val="00B618F3"/>
    <w:rsid w:val="00B61C8D"/>
    <w:rsid w:val="00B62423"/>
    <w:rsid w:val="00B639D8"/>
    <w:rsid w:val="00B660A3"/>
    <w:rsid w:val="00B6616B"/>
    <w:rsid w:val="00B6732E"/>
    <w:rsid w:val="00B7024A"/>
    <w:rsid w:val="00B70CFF"/>
    <w:rsid w:val="00B71735"/>
    <w:rsid w:val="00B71963"/>
    <w:rsid w:val="00B72317"/>
    <w:rsid w:val="00B728AA"/>
    <w:rsid w:val="00B732EC"/>
    <w:rsid w:val="00B734F2"/>
    <w:rsid w:val="00B736F8"/>
    <w:rsid w:val="00B73824"/>
    <w:rsid w:val="00B74D05"/>
    <w:rsid w:val="00B74D63"/>
    <w:rsid w:val="00B7529E"/>
    <w:rsid w:val="00B7630E"/>
    <w:rsid w:val="00B766BE"/>
    <w:rsid w:val="00B7784E"/>
    <w:rsid w:val="00B77A48"/>
    <w:rsid w:val="00B81547"/>
    <w:rsid w:val="00B825BA"/>
    <w:rsid w:val="00B82FE5"/>
    <w:rsid w:val="00B82FEF"/>
    <w:rsid w:val="00B84119"/>
    <w:rsid w:val="00B84797"/>
    <w:rsid w:val="00B84BA7"/>
    <w:rsid w:val="00B851E8"/>
    <w:rsid w:val="00B85B6C"/>
    <w:rsid w:val="00B866DE"/>
    <w:rsid w:val="00B86CF0"/>
    <w:rsid w:val="00B872E9"/>
    <w:rsid w:val="00B874ED"/>
    <w:rsid w:val="00B878EA"/>
    <w:rsid w:val="00B9040F"/>
    <w:rsid w:val="00B90555"/>
    <w:rsid w:val="00B9065A"/>
    <w:rsid w:val="00B9069B"/>
    <w:rsid w:val="00B90D37"/>
    <w:rsid w:val="00B91CB8"/>
    <w:rsid w:val="00B9236A"/>
    <w:rsid w:val="00B93EDA"/>
    <w:rsid w:val="00B94355"/>
    <w:rsid w:val="00B94582"/>
    <w:rsid w:val="00B9518D"/>
    <w:rsid w:val="00B95F01"/>
    <w:rsid w:val="00B96121"/>
    <w:rsid w:val="00B96D95"/>
    <w:rsid w:val="00B96DB3"/>
    <w:rsid w:val="00B97790"/>
    <w:rsid w:val="00B97925"/>
    <w:rsid w:val="00B97C16"/>
    <w:rsid w:val="00BA0646"/>
    <w:rsid w:val="00BA0AD1"/>
    <w:rsid w:val="00BA0EDA"/>
    <w:rsid w:val="00BA0FF9"/>
    <w:rsid w:val="00BA19E6"/>
    <w:rsid w:val="00BA1A3A"/>
    <w:rsid w:val="00BA26C7"/>
    <w:rsid w:val="00BA2D3A"/>
    <w:rsid w:val="00BA2E76"/>
    <w:rsid w:val="00BA323D"/>
    <w:rsid w:val="00BA4753"/>
    <w:rsid w:val="00BA4EAF"/>
    <w:rsid w:val="00BA521B"/>
    <w:rsid w:val="00BA54D5"/>
    <w:rsid w:val="00BA5AD8"/>
    <w:rsid w:val="00BA5E8A"/>
    <w:rsid w:val="00BA630A"/>
    <w:rsid w:val="00BA6A30"/>
    <w:rsid w:val="00BA6F10"/>
    <w:rsid w:val="00BA7847"/>
    <w:rsid w:val="00BB1020"/>
    <w:rsid w:val="00BB2606"/>
    <w:rsid w:val="00BB2FD1"/>
    <w:rsid w:val="00BB3107"/>
    <w:rsid w:val="00BB39E3"/>
    <w:rsid w:val="00BB4C63"/>
    <w:rsid w:val="00BB4DDA"/>
    <w:rsid w:val="00BB551D"/>
    <w:rsid w:val="00BB56E0"/>
    <w:rsid w:val="00BB6EE2"/>
    <w:rsid w:val="00BB72FE"/>
    <w:rsid w:val="00BB734F"/>
    <w:rsid w:val="00BC03DB"/>
    <w:rsid w:val="00BC0F6A"/>
    <w:rsid w:val="00BC125C"/>
    <w:rsid w:val="00BC171D"/>
    <w:rsid w:val="00BC2CBA"/>
    <w:rsid w:val="00BC3139"/>
    <w:rsid w:val="00BC41DD"/>
    <w:rsid w:val="00BC44DE"/>
    <w:rsid w:val="00BC51D1"/>
    <w:rsid w:val="00BC5843"/>
    <w:rsid w:val="00BC630E"/>
    <w:rsid w:val="00BC632B"/>
    <w:rsid w:val="00BC6C57"/>
    <w:rsid w:val="00BC76C2"/>
    <w:rsid w:val="00BC7921"/>
    <w:rsid w:val="00BD0C74"/>
    <w:rsid w:val="00BD1392"/>
    <w:rsid w:val="00BD13A6"/>
    <w:rsid w:val="00BD1E81"/>
    <w:rsid w:val="00BD2C8C"/>
    <w:rsid w:val="00BD2EE8"/>
    <w:rsid w:val="00BD2F46"/>
    <w:rsid w:val="00BD31F9"/>
    <w:rsid w:val="00BD375C"/>
    <w:rsid w:val="00BD3918"/>
    <w:rsid w:val="00BD4635"/>
    <w:rsid w:val="00BD5316"/>
    <w:rsid w:val="00BD69FA"/>
    <w:rsid w:val="00BD7378"/>
    <w:rsid w:val="00BE0029"/>
    <w:rsid w:val="00BE041D"/>
    <w:rsid w:val="00BE11A3"/>
    <w:rsid w:val="00BE121C"/>
    <w:rsid w:val="00BE2035"/>
    <w:rsid w:val="00BE2532"/>
    <w:rsid w:val="00BE2B0B"/>
    <w:rsid w:val="00BE2CAA"/>
    <w:rsid w:val="00BE309E"/>
    <w:rsid w:val="00BE3868"/>
    <w:rsid w:val="00BE4122"/>
    <w:rsid w:val="00BE4E49"/>
    <w:rsid w:val="00BE4FC9"/>
    <w:rsid w:val="00BE6360"/>
    <w:rsid w:val="00BE7298"/>
    <w:rsid w:val="00BF07BB"/>
    <w:rsid w:val="00BF151F"/>
    <w:rsid w:val="00BF1830"/>
    <w:rsid w:val="00BF208A"/>
    <w:rsid w:val="00BF211C"/>
    <w:rsid w:val="00BF24F9"/>
    <w:rsid w:val="00BF2F46"/>
    <w:rsid w:val="00BF2FA5"/>
    <w:rsid w:val="00BF346B"/>
    <w:rsid w:val="00BF43F1"/>
    <w:rsid w:val="00BF4F5D"/>
    <w:rsid w:val="00BF5155"/>
    <w:rsid w:val="00BF5779"/>
    <w:rsid w:val="00C00753"/>
    <w:rsid w:val="00C00879"/>
    <w:rsid w:val="00C012E1"/>
    <w:rsid w:val="00C01943"/>
    <w:rsid w:val="00C028A9"/>
    <w:rsid w:val="00C02D78"/>
    <w:rsid w:val="00C0412B"/>
    <w:rsid w:val="00C04711"/>
    <w:rsid w:val="00C04C44"/>
    <w:rsid w:val="00C0548E"/>
    <w:rsid w:val="00C07396"/>
    <w:rsid w:val="00C078E8"/>
    <w:rsid w:val="00C07B52"/>
    <w:rsid w:val="00C07FAF"/>
    <w:rsid w:val="00C11469"/>
    <w:rsid w:val="00C1175E"/>
    <w:rsid w:val="00C12A78"/>
    <w:rsid w:val="00C1322C"/>
    <w:rsid w:val="00C156BB"/>
    <w:rsid w:val="00C159A6"/>
    <w:rsid w:val="00C16A68"/>
    <w:rsid w:val="00C16F54"/>
    <w:rsid w:val="00C17BBC"/>
    <w:rsid w:val="00C21070"/>
    <w:rsid w:val="00C21290"/>
    <w:rsid w:val="00C2194E"/>
    <w:rsid w:val="00C22A3C"/>
    <w:rsid w:val="00C22C92"/>
    <w:rsid w:val="00C22D0C"/>
    <w:rsid w:val="00C230B1"/>
    <w:rsid w:val="00C23195"/>
    <w:rsid w:val="00C236AA"/>
    <w:rsid w:val="00C2479E"/>
    <w:rsid w:val="00C24C4D"/>
    <w:rsid w:val="00C250FA"/>
    <w:rsid w:val="00C2694A"/>
    <w:rsid w:val="00C26C26"/>
    <w:rsid w:val="00C26EC4"/>
    <w:rsid w:val="00C27C31"/>
    <w:rsid w:val="00C2CE7C"/>
    <w:rsid w:val="00C30060"/>
    <w:rsid w:val="00C31320"/>
    <w:rsid w:val="00C31C14"/>
    <w:rsid w:val="00C3268A"/>
    <w:rsid w:val="00C32C5A"/>
    <w:rsid w:val="00C33745"/>
    <w:rsid w:val="00C3445B"/>
    <w:rsid w:val="00C347E1"/>
    <w:rsid w:val="00C3530B"/>
    <w:rsid w:val="00C3564B"/>
    <w:rsid w:val="00C356F6"/>
    <w:rsid w:val="00C35D83"/>
    <w:rsid w:val="00C367E0"/>
    <w:rsid w:val="00C371EA"/>
    <w:rsid w:val="00C40F33"/>
    <w:rsid w:val="00C41C41"/>
    <w:rsid w:val="00C42095"/>
    <w:rsid w:val="00C4305B"/>
    <w:rsid w:val="00C43136"/>
    <w:rsid w:val="00C43797"/>
    <w:rsid w:val="00C43E90"/>
    <w:rsid w:val="00C44026"/>
    <w:rsid w:val="00C45392"/>
    <w:rsid w:val="00C4758C"/>
    <w:rsid w:val="00C47790"/>
    <w:rsid w:val="00C505BF"/>
    <w:rsid w:val="00C50697"/>
    <w:rsid w:val="00C50D63"/>
    <w:rsid w:val="00C51524"/>
    <w:rsid w:val="00C527A7"/>
    <w:rsid w:val="00C52F8B"/>
    <w:rsid w:val="00C53990"/>
    <w:rsid w:val="00C53C87"/>
    <w:rsid w:val="00C54912"/>
    <w:rsid w:val="00C55BD0"/>
    <w:rsid w:val="00C55D81"/>
    <w:rsid w:val="00C56A25"/>
    <w:rsid w:val="00C56BD2"/>
    <w:rsid w:val="00C56C90"/>
    <w:rsid w:val="00C56DEE"/>
    <w:rsid w:val="00C574D9"/>
    <w:rsid w:val="00C575EA"/>
    <w:rsid w:val="00C579CD"/>
    <w:rsid w:val="00C6078E"/>
    <w:rsid w:val="00C607C1"/>
    <w:rsid w:val="00C60926"/>
    <w:rsid w:val="00C60986"/>
    <w:rsid w:val="00C60DB9"/>
    <w:rsid w:val="00C60F9E"/>
    <w:rsid w:val="00C6126C"/>
    <w:rsid w:val="00C6154B"/>
    <w:rsid w:val="00C6328A"/>
    <w:rsid w:val="00C6376E"/>
    <w:rsid w:val="00C63F97"/>
    <w:rsid w:val="00C652B7"/>
    <w:rsid w:val="00C65595"/>
    <w:rsid w:val="00C661B1"/>
    <w:rsid w:val="00C666AC"/>
    <w:rsid w:val="00C66719"/>
    <w:rsid w:val="00C67176"/>
    <w:rsid w:val="00C67888"/>
    <w:rsid w:val="00C67DE5"/>
    <w:rsid w:val="00C7004C"/>
    <w:rsid w:val="00C701C2"/>
    <w:rsid w:val="00C70245"/>
    <w:rsid w:val="00C718E0"/>
    <w:rsid w:val="00C71EAB"/>
    <w:rsid w:val="00C72B26"/>
    <w:rsid w:val="00C7305C"/>
    <w:rsid w:val="00C730DC"/>
    <w:rsid w:val="00C742BF"/>
    <w:rsid w:val="00C7492B"/>
    <w:rsid w:val="00C7519E"/>
    <w:rsid w:val="00C7590D"/>
    <w:rsid w:val="00C76D00"/>
    <w:rsid w:val="00C77955"/>
    <w:rsid w:val="00C8048B"/>
    <w:rsid w:val="00C80D80"/>
    <w:rsid w:val="00C81913"/>
    <w:rsid w:val="00C823D5"/>
    <w:rsid w:val="00C82414"/>
    <w:rsid w:val="00C82C28"/>
    <w:rsid w:val="00C84406"/>
    <w:rsid w:val="00C84D13"/>
    <w:rsid w:val="00C85463"/>
    <w:rsid w:val="00C85AD8"/>
    <w:rsid w:val="00C87108"/>
    <w:rsid w:val="00C87A22"/>
    <w:rsid w:val="00C90915"/>
    <w:rsid w:val="00C90A96"/>
    <w:rsid w:val="00C916E9"/>
    <w:rsid w:val="00C91BAD"/>
    <w:rsid w:val="00C9238C"/>
    <w:rsid w:val="00C930A2"/>
    <w:rsid w:val="00C94506"/>
    <w:rsid w:val="00C945A6"/>
    <w:rsid w:val="00C956C7"/>
    <w:rsid w:val="00C95C23"/>
    <w:rsid w:val="00C95CD6"/>
    <w:rsid w:val="00C96758"/>
    <w:rsid w:val="00C9747E"/>
    <w:rsid w:val="00C97A6C"/>
    <w:rsid w:val="00C97F90"/>
    <w:rsid w:val="00CA01BA"/>
    <w:rsid w:val="00CA05A3"/>
    <w:rsid w:val="00CA0676"/>
    <w:rsid w:val="00CA1001"/>
    <w:rsid w:val="00CA1A04"/>
    <w:rsid w:val="00CA1B87"/>
    <w:rsid w:val="00CA213F"/>
    <w:rsid w:val="00CA33FE"/>
    <w:rsid w:val="00CA40C5"/>
    <w:rsid w:val="00CA40EC"/>
    <w:rsid w:val="00CA488D"/>
    <w:rsid w:val="00CA5E90"/>
    <w:rsid w:val="00CA614A"/>
    <w:rsid w:val="00CA66DA"/>
    <w:rsid w:val="00CA72BC"/>
    <w:rsid w:val="00CA74CB"/>
    <w:rsid w:val="00CA7A62"/>
    <w:rsid w:val="00CA7E25"/>
    <w:rsid w:val="00CB04E3"/>
    <w:rsid w:val="00CB251A"/>
    <w:rsid w:val="00CB26CD"/>
    <w:rsid w:val="00CB412C"/>
    <w:rsid w:val="00CB4ABA"/>
    <w:rsid w:val="00CB569F"/>
    <w:rsid w:val="00CB5897"/>
    <w:rsid w:val="00CB5A43"/>
    <w:rsid w:val="00CB74B4"/>
    <w:rsid w:val="00CB7A74"/>
    <w:rsid w:val="00CC08D5"/>
    <w:rsid w:val="00CC177F"/>
    <w:rsid w:val="00CC1BD1"/>
    <w:rsid w:val="00CC2B84"/>
    <w:rsid w:val="00CC38B8"/>
    <w:rsid w:val="00CC39F5"/>
    <w:rsid w:val="00CC4BF0"/>
    <w:rsid w:val="00CC4D49"/>
    <w:rsid w:val="00CC56FF"/>
    <w:rsid w:val="00CC60EA"/>
    <w:rsid w:val="00CC610F"/>
    <w:rsid w:val="00CC7956"/>
    <w:rsid w:val="00CD0531"/>
    <w:rsid w:val="00CD05EF"/>
    <w:rsid w:val="00CD1376"/>
    <w:rsid w:val="00CD1C90"/>
    <w:rsid w:val="00CD311C"/>
    <w:rsid w:val="00CD336C"/>
    <w:rsid w:val="00CD339E"/>
    <w:rsid w:val="00CD46A4"/>
    <w:rsid w:val="00CD54B7"/>
    <w:rsid w:val="00CD582A"/>
    <w:rsid w:val="00CD5ED1"/>
    <w:rsid w:val="00CD5F4F"/>
    <w:rsid w:val="00CD612D"/>
    <w:rsid w:val="00CD629A"/>
    <w:rsid w:val="00CD6AA7"/>
    <w:rsid w:val="00CD75CD"/>
    <w:rsid w:val="00CE13A2"/>
    <w:rsid w:val="00CE14D0"/>
    <w:rsid w:val="00CE166A"/>
    <w:rsid w:val="00CE2DB8"/>
    <w:rsid w:val="00CE4133"/>
    <w:rsid w:val="00CE49B2"/>
    <w:rsid w:val="00CE4A1B"/>
    <w:rsid w:val="00CE5EA5"/>
    <w:rsid w:val="00CE669B"/>
    <w:rsid w:val="00CE7234"/>
    <w:rsid w:val="00CE75B1"/>
    <w:rsid w:val="00CF163D"/>
    <w:rsid w:val="00CF1AA3"/>
    <w:rsid w:val="00CF1D60"/>
    <w:rsid w:val="00CF237B"/>
    <w:rsid w:val="00CF28D1"/>
    <w:rsid w:val="00CF2F3B"/>
    <w:rsid w:val="00CF425A"/>
    <w:rsid w:val="00CF5C2B"/>
    <w:rsid w:val="00CF5CA9"/>
    <w:rsid w:val="00CF661E"/>
    <w:rsid w:val="00CF7C2F"/>
    <w:rsid w:val="00D002CE"/>
    <w:rsid w:val="00D008D4"/>
    <w:rsid w:val="00D016D3"/>
    <w:rsid w:val="00D017FE"/>
    <w:rsid w:val="00D01A64"/>
    <w:rsid w:val="00D02D41"/>
    <w:rsid w:val="00D0381E"/>
    <w:rsid w:val="00D03DDD"/>
    <w:rsid w:val="00D04C21"/>
    <w:rsid w:val="00D05302"/>
    <w:rsid w:val="00D05B53"/>
    <w:rsid w:val="00D068A7"/>
    <w:rsid w:val="00D07E8A"/>
    <w:rsid w:val="00D101F7"/>
    <w:rsid w:val="00D102BF"/>
    <w:rsid w:val="00D1092D"/>
    <w:rsid w:val="00D10CDB"/>
    <w:rsid w:val="00D10CDE"/>
    <w:rsid w:val="00D12E7D"/>
    <w:rsid w:val="00D1566F"/>
    <w:rsid w:val="00D15797"/>
    <w:rsid w:val="00D16DF7"/>
    <w:rsid w:val="00D21491"/>
    <w:rsid w:val="00D215D5"/>
    <w:rsid w:val="00D21CB9"/>
    <w:rsid w:val="00D21D3D"/>
    <w:rsid w:val="00D21EF5"/>
    <w:rsid w:val="00D2223E"/>
    <w:rsid w:val="00D22506"/>
    <w:rsid w:val="00D22B57"/>
    <w:rsid w:val="00D2350C"/>
    <w:rsid w:val="00D24396"/>
    <w:rsid w:val="00D24DDD"/>
    <w:rsid w:val="00D25823"/>
    <w:rsid w:val="00D25C00"/>
    <w:rsid w:val="00D25E37"/>
    <w:rsid w:val="00D2626F"/>
    <w:rsid w:val="00D2681E"/>
    <w:rsid w:val="00D27320"/>
    <w:rsid w:val="00D275D1"/>
    <w:rsid w:val="00D30686"/>
    <w:rsid w:val="00D30A4D"/>
    <w:rsid w:val="00D31557"/>
    <w:rsid w:val="00D315BF"/>
    <w:rsid w:val="00D319A6"/>
    <w:rsid w:val="00D31CE6"/>
    <w:rsid w:val="00D320A0"/>
    <w:rsid w:val="00D33C1A"/>
    <w:rsid w:val="00D34192"/>
    <w:rsid w:val="00D345D1"/>
    <w:rsid w:val="00D348BE"/>
    <w:rsid w:val="00D356A3"/>
    <w:rsid w:val="00D3576E"/>
    <w:rsid w:val="00D3646B"/>
    <w:rsid w:val="00D368C4"/>
    <w:rsid w:val="00D36E5A"/>
    <w:rsid w:val="00D37502"/>
    <w:rsid w:val="00D37F02"/>
    <w:rsid w:val="00D41494"/>
    <w:rsid w:val="00D416F8"/>
    <w:rsid w:val="00D41D17"/>
    <w:rsid w:val="00D43EB6"/>
    <w:rsid w:val="00D43F79"/>
    <w:rsid w:val="00D44277"/>
    <w:rsid w:val="00D451CA"/>
    <w:rsid w:val="00D453BC"/>
    <w:rsid w:val="00D45BB3"/>
    <w:rsid w:val="00D462A1"/>
    <w:rsid w:val="00D465BB"/>
    <w:rsid w:val="00D4685B"/>
    <w:rsid w:val="00D46920"/>
    <w:rsid w:val="00D469AC"/>
    <w:rsid w:val="00D46D4F"/>
    <w:rsid w:val="00D4767A"/>
    <w:rsid w:val="00D5011E"/>
    <w:rsid w:val="00D52F46"/>
    <w:rsid w:val="00D546E7"/>
    <w:rsid w:val="00D54A98"/>
    <w:rsid w:val="00D54F2A"/>
    <w:rsid w:val="00D55669"/>
    <w:rsid w:val="00D570B5"/>
    <w:rsid w:val="00D57DFA"/>
    <w:rsid w:val="00D610B7"/>
    <w:rsid w:val="00D6150E"/>
    <w:rsid w:val="00D616DD"/>
    <w:rsid w:val="00D61F6B"/>
    <w:rsid w:val="00D62320"/>
    <w:rsid w:val="00D63A2A"/>
    <w:rsid w:val="00D64061"/>
    <w:rsid w:val="00D640A9"/>
    <w:rsid w:val="00D6422D"/>
    <w:rsid w:val="00D66094"/>
    <w:rsid w:val="00D673CB"/>
    <w:rsid w:val="00D706DA"/>
    <w:rsid w:val="00D70EBD"/>
    <w:rsid w:val="00D71270"/>
    <w:rsid w:val="00D71430"/>
    <w:rsid w:val="00D71580"/>
    <w:rsid w:val="00D717D8"/>
    <w:rsid w:val="00D7274F"/>
    <w:rsid w:val="00D73B1B"/>
    <w:rsid w:val="00D74A5F"/>
    <w:rsid w:val="00D757A8"/>
    <w:rsid w:val="00D758D2"/>
    <w:rsid w:val="00D7675C"/>
    <w:rsid w:val="00D76AB4"/>
    <w:rsid w:val="00D76B2F"/>
    <w:rsid w:val="00D76E3D"/>
    <w:rsid w:val="00D772E7"/>
    <w:rsid w:val="00D77856"/>
    <w:rsid w:val="00D77C73"/>
    <w:rsid w:val="00D77FB4"/>
    <w:rsid w:val="00D803C6"/>
    <w:rsid w:val="00D80B10"/>
    <w:rsid w:val="00D81495"/>
    <w:rsid w:val="00D81853"/>
    <w:rsid w:val="00D82762"/>
    <w:rsid w:val="00D83408"/>
    <w:rsid w:val="00D8350D"/>
    <w:rsid w:val="00D838C6"/>
    <w:rsid w:val="00D84159"/>
    <w:rsid w:val="00D84875"/>
    <w:rsid w:val="00D84ACC"/>
    <w:rsid w:val="00D84EA8"/>
    <w:rsid w:val="00D8549A"/>
    <w:rsid w:val="00D85D86"/>
    <w:rsid w:val="00D86E86"/>
    <w:rsid w:val="00D87F68"/>
    <w:rsid w:val="00D914EA"/>
    <w:rsid w:val="00D91639"/>
    <w:rsid w:val="00D91D0C"/>
    <w:rsid w:val="00D93CAA"/>
    <w:rsid w:val="00D94275"/>
    <w:rsid w:val="00D946E4"/>
    <w:rsid w:val="00D94797"/>
    <w:rsid w:val="00D955AD"/>
    <w:rsid w:val="00D957A1"/>
    <w:rsid w:val="00D95BD5"/>
    <w:rsid w:val="00D963FC"/>
    <w:rsid w:val="00D97E90"/>
    <w:rsid w:val="00DA003A"/>
    <w:rsid w:val="00DA0F50"/>
    <w:rsid w:val="00DA1E1C"/>
    <w:rsid w:val="00DA23E9"/>
    <w:rsid w:val="00DA2634"/>
    <w:rsid w:val="00DA283B"/>
    <w:rsid w:val="00DA34AC"/>
    <w:rsid w:val="00DA3E67"/>
    <w:rsid w:val="00DA49B7"/>
    <w:rsid w:val="00DA4C39"/>
    <w:rsid w:val="00DA5A00"/>
    <w:rsid w:val="00DA60E5"/>
    <w:rsid w:val="00DA6AD5"/>
    <w:rsid w:val="00DA6C55"/>
    <w:rsid w:val="00DA7F25"/>
    <w:rsid w:val="00DA7FF2"/>
    <w:rsid w:val="00DB00EA"/>
    <w:rsid w:val="00DB120A"/>
    <w:rsid w:val="00DB1DB6"/>
    <w:rsid w:val="00DB2A46"/>
    <w:rsid w:val="00DB2F1A"/>
    <w:rsid w:val="00DB3A60"/>
    <w:rsid w:val="00DB3DDC"/>
    <w:rsid w:val="00DB5416"/>
    <w:rsid w:val="00DB6579"/>
    <w:rsid w:val="00DB6E61"/>
    <w:rsid w:val="00DB777A"/>
    <w:rsid w:val="00DC1233"/>
    <w:rsid w:val="00DC19FC"/>
    <w:rsid w:val="00DC1D21"/>
    <w:rsid w:val="00DC2D60"/>
    <w:rsid w:val="00DC326F"/>
    <w:rsid w:val="00DC372E"/>
    <w:rsid w:val="00DC3C57"/>
    <w:rsid w:val="00DC432A"/>
    <w:rsid w:val="00DC5433"/>
    <w:rsid w:val="00DC59A6"/>
    <w:rsid w:val="00DC69BA"/>
    <w:rsid w:val="00DC6CBD"/>
    <w:rsid w:val="00DC6DE1"/>
    <w:rsid w:val="00DD03D4"/>
    <w:rsid w:val="00DD1433"/>
    <w:rsid w:val="00DD18FD"/>
    <w:rsid w:val="00DD1AE1"/>
    <w:rsid w:val="00DD2966"/>
    <w:rsid w:val="00DD29B1"/>
    <w:rsid w:val="00DD2E4C"/>
    <w:rsid w:val="00DD3042"/>
    <w:rsid w:val="00DD4EE6"/>
    <w:rsid w:val="00DD57A4"/>
    <w:rsid w:val="00DD6537"/>
    <w:rsid w:val="00DE05AE"/>
    <w:rsid w:val="00DE0FC5"/>
    <w:rsid w:val="00DE144E"/>
    <w:rsid w:val="00DE1D10"/>
    <w:rsid w:val="00DE20AA"/>
    <w:rsid w:val="00DE2EA2"/>
    <w:rsid w:val="00DE3672"/>
    <w:rsid w:val="00DE3725"/>
    <w:rsid w:val="00DE3F88"/>
    <w:rsid w:val="00DE4C2A"/>
    <w:rsid w:val="00DE5277"/>
    <w:rsid w:val="00DE5B46"/>
    <w:rsid w:val="00DE65A0"/>
    <w:rsid w:val="00DE68DB"/>
    <w:rsid w:val="00DE6CE0"/>
    <w:rsid w:val="00DE6CF7"/>
    <w:rsid w:val="00DE72F5"/>
    <w:rsid w:val="00DE75CC"/>
    <w:rsid w:val="00DE792B"/>
    <w:rsid w:val="00DF0592"/>
    <w:rsid w:val="00DF0C5D"/>
    <w:rsid w:val="00DF1442"/>
    <w:rsid w:val="00DF210C"/>
    <w:rsid w:val="00DF2248"/>
    <w:rsid w:val="00DF2599"/>
    <w:rsid w:val="00DF3169"/>
    <w:rsid w:val="00DF3C9F"/>
    <w:rsid w:val="00DF3D3E"/>
    <w:rsid w:val="00DF43FE"/>
    <w:rsid w:val="00DF4680"/>
    <w:rsid w:val="00DF4AC9"/>
    <w:rsid w:val="00DF4B44"/>
    <w:rsid w:val="00DF5658"/>
    <w:rsid w:val="00DF66B0"/>
    <w:rsid w:val="00DF69D8"/>
    <w:rsid w:val="00DF6B7C"/>
    <w:rsid w:val="00E00E17"/>
    <w:rsid w:val="00E01B1B"/>
    <w:rsid w:val="00E01F62"/>
    <w:rsid w:val="00E02578"/>
    <w:rsid w:val="00E046CF"/>
    <w:rsid w:val="00E048E8"/>
    <w:rsid w:val="00E05934"/>
    <w:rsid w:val="00E060CB"/>
    <w:rsid w:val="00E10032"/>
    <w:rsid w:val="00E117F6"/>
    <w:rsid w:val="00E118AD"/>
    <w:rsid w:val="00E119B8"/>
    <w:rsid w:val="00E11B9A"/>
    <w:rsid w:val="00E12295"/>
    <w:rsid w:val="00E127B7"/>
    <w:rsid w:val="00E1286C"/>
    <w:rsid w:val="00E13723"/>
    <w:rsid w:val="00E14EA2"/>
    <w:rsid w:val="00E15365"/>
    <w:rsid w:val="00E15F26"/>
    <w:rsid w:val="00E17325"/>
    <w:rsid w:val="00E17990"/>
    <w:rsid w:val="00E17F95"/>
    <w:rsid w:val="00E20271"/>
    <w:rsid w:val="00E202FD"/>
    <w:rsid w:val="00E20847"/>
    <w:rsid w:val="00E20887"/>
    <w:rsid w:val="00E208B7"/>
    <w:rsid w:val="00E2143D"/>
    <w:rsid w:val="00E218A2"/>
    <w:rsid w:val="00E224B8"/>
    <w:rsid w:val="00E22F91"/>
    <w:rsid w:val="00E243B5"/>
    <w:rsid w:val="00E247DD"/>
    <w:rsid w:val="00E24D23"/>
    <w:rsid w:val="00E2542B"/>
    <w:rsid w:val="00E2583B"/>
    <w:rsid w:val="00E25A13"/>
    <w:rsid w:val="00E25D13"/>
    <w:rsid w:val="00E2666E"/>
    <w:rsid w:val="00E27466"/>
    <w:rsid w:val="00E27E65"/>
    <w:rsid w:val="00E30C57"/>
    <w:rsid w:val="00E32194"/>
    <w:rsid w:val="00E3492B"/>
    <w:rsid w:val="00E34D34"/>
    <w:rsid w:val="00E3606C"/>
    <w:rsid w:val="00E367D6"/>
    <w:rsid w:val="00E36D06"/>
    <w:rsid w:val="00E372FB"/>
    <w:rsid w:val="00E37729"/>
    <w:rsid w:val="00E377B2"/>
    <w:rsid w:val="00E37E08"/>
    <w:rsid w:val="00E40808"/>
    <w:rsid w:val="00E40A70"/>
    <w:rsid w:val="00E40E2D"/>
    <w:rsid w:val="00E40E54"/>
    <w:rsid w:val="00E41653"/>
    <w:rsid w:val="00E41B5E"/>
    <w:rsid w:val="00E41E47"/>
    <w:rsid w:val="00E42D19"/>
    <w:rsid w:val="00E43388"/>
    <w:rsid w:val="00E43432"/>
    <w:rsid w:val="00E43F8E"/>
    <w:rsid w:val="00E456DB"/>
    <w:rsid w:val="00E458A4"/>
    <w:rsid w:val="00E45C36"/>
    <w:rsid w:val="00E469CA"/>
    <w:rsid w:val="00E50963"/>
    <w:rsid w:val="00E50C87"/>
    <w:rsid w:val="00E51268"/>
    <w:rsid w:val="00E5292E"/>
    <w:rsid w:val="00E52D26"/>
    <w:rsid w:val="00E53B2D"/>
    <w:rsid w:val="00E53E88"/>
    <w:rsid w:val="00E542F9"/>
    <w:rsid w:val="00E54434"/>
    <w:rsid w:val="00E546EC"/>
    <w:rsid w:val="00E55613"/>
    <w:rsid w:val="00E56108"/>
    <w:rsid w:val="00E57908"/>
    <w:rsid w:val="00E57B84"/>
    <w:rsid w:val="00E57B99"/>
    <w:rsid w:val="00E6016A"/>
    <w:rsid w:val="00E60484"/>
    <w:rsid w:val="00E60A09"/>
    <w:rsid w:val="00E60AC5"/>
    <w:rsid w:val="00E6298E"/>
    <w:rsid w:val="00E62AED"/>
    <w:rsid w:val="00E63CAE"/>
    <w:rsid w:val="00E643BC"/>
    <w:rsid w:val="00E64A01"/>
    <w:rsid w:val="00E64D33"/>
    <w:rsid w:val="00E658F8"/>
    <w:rsid w:val="00E65D3A"/>
    <w:rsid w:val="00E6641B"/>
    <w:rsid w:val="00E67444"/>
    <w:rsid w:val="00E701C8"/>
    <w:rsid w:val="00E70263"/>
    <w:rsid w:val="00E70264"/>
    <w:rsid w:val="00E70309"/>
    <w:rsid w:val="00E72ACF"/>
    <w:rsid w:val="00E7363D"/>
    <w:rsid w:val="00E7372B"/>
    <w:rsid w:val="00E74394"/>
    <w:rsid w:val="00E74BD3"/>
    <w:rsid w:val="00E75454"/>
    <w:rsid w:val="00E755BF"/>
    <w:rsid w:val="00E770E8"/>
    <w:rsid w:val="00E774DF"/>
    <w:rsid w:val="00E777F7"/>
    <w:rsid w:val="00E809A2"/>
    <w:rsid w:val="00E80B08"/>
    <w:rsid w:val="00E8181B"/>
    <w:rsid w:val="00E81D70"/>
    <w:rsid w:val="00E81F05"/>
    <w:rsid w:val="00E8209E"/>
    <w:rsid w:val="00E824B6"/>
    <w:rsid w:val="00E8255B"/>
    <w:rsid w:val="00E82ADB"/>
    <w:rsid w:val="00E82EAF"/>
    <w:rsid w:val="00E83092"/>
    <w:rsid w:val="00E8398B"/>
    <w:rsid w:val="00E83AC8"/>
    <w:rsid w:val="00E844E7"/>
    <w:rsid w:val="00E855C5"/>
    <w:rsid w:val="00E85A3A"/>
    <w:rsid w:val="00E86090"/>
    <w:rsid w:val="00E86504"/>
    <w:rsid w:val="00E8679A"/>
    <w:rsid w:val="00E86D2F"/>
    <w:rsid w:val="00E87C23"/>
    <w:rsid w:val="00E9055F"/>
    <w:rsid w:val="00E90B07"/>
    <w:rsid w:val="00E90D23"/>
    <w:rsid w:val="00E90EA6"/>
    <w:rsid w:val="00E91B3E"/>
    <w:rsid w:val="00E925D3"/>
    <w:rsid w:val="00E926BA"/>
    <w:rsid w:val="00E93D2C"/>
    <w:rsid w:val="00E94316"/>
    <w:rsid w:val="00E9520C"/>
    <w:rsid w:val="00E95735"/>
    <w:rsid w:val="00E95A82"/>
    <w:rsid w:val="00E95E37"/>
    <w:rsid w:val="00E963EA"/>
    <w:rsid w:val="00E965CD"/>
    <w:rsid w:val="00E97440"/>
    <w:rsid w:val="00E975CD"/>
    <w:rsid w:val="00E978A6"/>
    <w:rsid w:val="00E9790F"/>
    <w:rsid w:val="00EA054B"/>
    <w:rsid w:val="00EA1520"/>
    <w:rsid w:val="00EA163E"/>
    <w:rsid w:val="00EA3175"/>
    <w:rsid w:val="00EA3DA1"/>
    <w:rsid w:val="00EA44F8"/>
    <w:rsid w:val="00EA5332"/>
    <w:rsid w:val="00EA5A58"/>
    <w:rsid w:val="00EA75A2"/>
    <w:rsid w:val="00EA7654"/>
    <w:rsid w:val="00EA77BB"/>
    <w:rsid w:val="00EA7A72"/>
    <w:rsid w:val="00EB115E"/>
    <w:rsid w:val="00EB17CB"/>
    <w:rsid w:val="00EB18EA"/>
    <w:rsid w:val="00EB2784"/>
    <w:rsid w:val="00EB2F01"/>
    <w:rsid w:val="00EB2F9C"/>
    <w:rsid w:val="00EB3880"/>
    <w:rsid w:val="00EB397D"/>
    <w:rsid w:val="00EB3FC6"/>
    <w:rsid w:val="00EB4216"/>
    <w:rsid w:val="00EB47F6"/>
    <w:rsid w:val="00EB51B8"/>
    <w:rsid w:val="00EB5617"/>
    <w:rsid w:val="00EB5FDC"/>
    <w:rsid w:val="00EB5FF4"/>
    <w:rsid w:val="00EB66FC"/>
    <w:rsid w:val="00EC0724"/>
    <w:rsid w:val="00EC1344"/>
    <w:rsid w:val="00EC2443"/>
    <w:rsid w:val="00EC2B91"/>
    <w:rsid w:val="00EC3C90"/>
    <w:rsid w:val="00EC4666"/>
    <w:rsid w:val="00EC467C"/>
    <w:rsid w:val="00EC51E9"/>
    <w:rsid w:val="00EC5331"/>
    <w:rsid w:val="00EC571D"/>
    <w:rsid w:val="00EC57B7"/>
    <w:rsid w:val="00EC5C04"/>
    <w:rsid w:val="00ED01F0"/>
    <w:rsid w:val="00ED049A"/>
    <w:rsid w:val="00ED0B81"/>
    <w:rsid w:val="00ED0F19"/>
    <w:rsid w:val="00ED1060"/>
    <w:rsid w:val="00ED1CB2"/>
    <w:rsid w:val="00ED20FB"/>
    <w:rsid w:val="00ED447B"/>
    <w:rsid w:val="00ED47DA"/>
    <w:rsid w:val="00ED4E8C"/>
    <w:rsid w:val="00ED582A"/>
    <w:rsid w:val="00ED63B2"/>
    <w:rsid w:val="00ED77C9"/>
    <w:rsid w:val="00EE0297"/>
    <w:rsid w:val="00EE0B1E"/>
    <w:rsid w:val="00EE115D"/>
    <w:rsid w:val="00EE1AE0"/>
    <w:rsid w:val="00EE1D17"/>
    <w:rsid w:val="00EE1D6E"/>
    <w:rsid w:val="00EE2549"/>
    <w:rsid w:val="00EE2761"/>
    <w:rsid w:val="00EE2CDF"/>
    <w:rsid w:val="00EE34E2"/>
    <w:rsid w:val="00EE361B"/>
    <w:rsid w:val="00EE3AAE"/>
    <w:rsid w:val="00EE3E8C"/>
    <w:rsid w:val="00EE5725"/>
    <w:rsid w:val="00EE6D12"/>
    <w:rsid w:val="00EE6E43"/>
    <w:rsid w:val="00EE7124"/>
    <w:rsid w:val="00EF0969"/>
    <w:rsid w:val="00EF09C7"/>
    <w:rsid w:val="00EF0B0C"/>
    <w:rsid w:val="00EF1409"/>
    <w:rsid w:val="00EF148A"/>
    <w:rsid w:val="00EF1494"/>
    <w:rsid w:val="00EF16E8"/>
    <w:rsid w:val="00EF1FE3"/>
    <w:rsid w:val="00EF24FD"/>
    <w:rsid w:val="00EF34D2"/>
    <w:rsid w:val="00EF3735"/>
    <w:rsid w:val="00EF3DB6"/>
    <w:rsid w:val="00EF462D"/>
    <w:rsid w:val="00EF4D16"/>
    <w:rsid w:val="00EF51C2"/>
    <w:rsid w:val="00EF5889"/>
    <w:rsid w:val="00EF5BC6"/>
    <w:rsid w:val="00EF5F64"/>
    <w:rsid w:val="00EF60A4"/>
    <w:rsid w:val="00EF61A9"/>
    <w:rsid w:val="00EF709B"/>
    <w:rsid w:val="00F00E8A"/>
    <w:rsid w:val="00F018A3"/>
    <w:rsid w:val="00F01F2E"/>
    <w:rsid w:val="00F035EB"/>
    <w:rsid w:val="00F039DB"/>
    <w:rsid w:val="00F03A4B"/>
    <w:rsid w:val="00F04DA7"/>
    <w:rsid w:val="00F05818"/>
    <w:rsid w:val="00F07025"/>
    <w:rsid w:val="00F074BE"/>
    <w:rsid w:val="00F07833"/>
    <w:rsid w:val="00F10F34"/>
    <w:rsid w:val="00F10FF8"/>
    <w:rsid w:val="00F11ECE"/>
    <w:rsid w:val="00F12C6D"/>
    <w:rsid w:val="00F1419C"/>
    <w:rsid w:val="00F14C0A"/>
    <w:rsid w:val="00F15743"/>
    <w:rsid w:val="00F16ABA"/>
    <w:rsid w:val="00F1745E"/>
    <w:rsid w:val="00F17519"/>
    <w:rsid w:val="00F1789C"/>
    <w:rsid w:val="00F17C78"/>
    <w:rsid w:val="00F2009B"/>
    <w:rsid w:val="00F209FF"/>
    <w:rsid w:val="00F20ECD"/>
    <w:rsid w:val="00F2109F"/>
    <w:rsid w:val="00F217E0"/>
    <w:rsid w:val="00F21AD8"/>
    <w:rsid w:val="00F21CF7"/>
    <w:rsid w:val="00F21F90"/>
    <w:rsid w:val="00F22454"/>
    <w:rsid w:val="00F224B4"/>
    <w:rsid w:val="00F22CE6"/>
    <w:rsid w:val="00F23FAB"/>
    <w:rsid w:val="00F24053"/>
    <w:rsid w:val="00F241C7"/>
    <w:rsid w:val="00F249C5"/>
    <w:rsid w:val="00F25411"/>
    <w:rsid w:val="00F266A7"/>
    <w:rsid w:val="00F26E3B"/>
    <w:rsid w:val="00F27979"/>
    <w:rsid w:val="00F30B00"/>
    <w:rsid w:val="00F31906"/>
    <w:rsid w:val="00F319C4"/>
    <w:rsid w:val="00F31EBF"/>
    <w:rsid w:val="00F322AE"/>
    <w:rsid w:val="00F32778"/>
    <w:rsid w:val="00F348E7"/>
    <w:rsid w:val="00F349F4"/>
    <w:rsid w:val="00F35833"/>
    <w:rsid w:val="00F35D70"/>
    <w:rsid w:val="00F36046"/>
    <w:rsid w:val="00F3677E"/>
    <w:rsid w:val="00F400DD"/>
    <w:rsid w:val="00F4013C"/>
    <w:rsid w:val="00F41D5B"/>
    <w:rsid w:val="00F428BE"/>
    <w:rsid w:val="00F42903"/>
    <w:rsid w:val="00F43119"/>
    <w:rsid w:val="00F43B55"/>
    <w:rsid w:val="00F43EB7"/>
    <w:rsid w:val="00F46AC3"/>
    <w:rsid w:val="00F46B6E"/>
    <w:rsid w:val="00F46D54"/>
    <w:rsid w:val="00F513B8"/>
    <w:rsid w:val="00F515A1"/>
    <w:rsid w:val="00F51755"/>
    <w:rsid w:val="00F5187E"/>
    <w:rsid w:val="00F51EC8"/>
    <w:rsid w:val="00F52F98"/>
    <w:rsid w:val="00F53467"/>
    <w:rsid w:val="00F53726"/>
    <w:rsid w:val="00F53EEE"/>
    <w:rsid w:val="00F541D5"/>
    <w:rsid w:val="00F544CA"/>
    <w:rsid w:val="00F54E17"/>
    <w:rsid w:val="00F55CB2"/>
    <w:rsid w:val="00F5690F"/>
    <w:rsid w:val="00F56DBF"/>
    <w:rsid w:val="00F575CC"/>
    <w:rsid w:val="00F5778D"/>
    <w:rsid w:val="00F57E09"/>
    <w:rsid w:val="00F57FA3"/>
    <w:rsid w:val="00F60176"/>
    <w:rsid w:val="00F60422"/>
    <w:rsid w:val="00F611B1"/>
    <w:rsid w:val="00F613E4"/>
    <w:rsid w:val="00F62093"/>
    <w:rsid w:val="00F627C6"/>
    <w:rsid w:val="00F62E35"/>
    <w:rsid w:val="00F63CAF"/>
    <w:rsid w:val="00F63E1F"/>
    <w:rsid w:val="00F64252"/>
    <w:rsid w:val="00F6428B"/>
    <w:rsid w:val="00F642A3"/>
    <w:rsid w:val="00F65662"/>
    <w:rsid w:val="00F65B4D"/>
    <w:rsid w:val="00F66271"/>
    <w:rsid w:val="00F66B5E"/>
    <w:rsid w:val="00F71268"/>
    <w:rsid w:val="00F71708"/>
    <w:rsid w:val="00F71721"/>
    <w:rsid w:val="00F720D2"/>
    <w:rsid w:val="00F721E0"/>
    <w:rsid w:val="00F732B5"/>
    <w:rsid w:val="00F732C2"/>
    <w:rsid w:val="00F7337F"/>
    <w:rsid w:val="00F73C4D"/>
    <w:rsid w:val="00F75363"/>
    <w:rsid w:val="00F75443"/>
    <w:rsid w:val="00F75BAF"/>
    <w:rsid w:val="00F760C8"/>
    <w:rsid w:val="00F77749"/>
    <w:rsid w:val="00F77E53"/>
    <w:rsid w:val="00F8060F"/>
    <w:rsid w:val="00F80C8A"/>
    <w:rsid w:val="00F8123B"/>
    <w:rsid w:val="00F8187E"/>
    <w:rsid w:val="00F81FEC"/>
    <w:rsid w:val="00F82DE8"/>
    <w:rsid w:val="00F84F8A"/>
    <w:rsid w:val="00F85503"/>
    <w:rsid w:val="00F85C11"/>
    <w:rsid w:val="00F85CFC"/>
    <w:rsid w:val="00F85D44"/>
    <w:rsid w:val="00F86224"/>
    <w:rsid w:val="00F87936"/>
    <w:rsid w:val="00F90735"/>
    <w:rsid w:val="00F90FF8"/>
    <w:rsid w:val="00F91227"/>
    <w:rsid w:val="00F92131"/>
    <w:rsid w:val="00F92F48"/>
    <w:rsid w:val="00F93EFD"/>
    <w:rsid w:val="00F956E7"/>
    <w:rsid w:val="00F95EE4"/>
    <w:rsid w:val="00F96352"/>
    <w:rsid w:val="00F9637A"/>
    <w:rsid w:val="00F97455"/>
    <w:rsid w:val="00FA04FA"/>
    <w:rsid w:val="00FA1BDF"/>
    <w:rsid w:val="00FA2DBD"/>
    <w:rsid w:val="00FA2EE1"/>
    <w:rsid w:val="00FA3B56"/>
    <w:rsid w:val="00FA3B63"/>
    <w:rsid w:val="00FA5852"/>
    <w:rsid w:val="00FA5B7B"/>
    <w:rsid w:val="00FA5C76"/>
    <w:rsid w:val="00FA6323"/>
    <w:rsid w:val="00FA6569"/>
    <w:rsid w:val="00FA6DCC"/>
    <w:rsid w:val="00FA6F7B"/>
    <w:rsid w:val="00FB136E"/>
    <w:rsid w:val="00FB138D"/>
    <w:rsid w:val="00FB21BF"/>
    <w:rsid w:val="00FB2366"/>
    <w:rsid w:val="00FB25C4"/>
    <w:rsid w:val="00FB270F"/>
    <w:rsid w:val="00FB3835"/>
    <w:rsid w:val="00FB4060"/>
    <w:rsid w:val="00FB4563"/>
    <w:rsid w:val="00FB5153"/>
    <w:rsid w:val="00FB5206"/>
    <w:rsid w:val="00FB5BDF"/>
    <w:rsid w:val="00FB65CD"/>
    <w:rsid w:val="00FB6888"/>
    <w:rsid w:val="00FB6ADF"/>
    <w:rsid w:val="00FB6ECD"/>
    <w:rsid w:val="00FB7B81"/>
    <w:rsid w:val="00FB7F2B"/>
    <w:rsid w:val="00FC009A"/>
    <w:rsid w:val="00FC0806"/>
    <w:rsid w:val="00FC2317"/>
    <w:rsid w:val="00FC2D36"/>
    <w:rsid w:val="00FC2E03"/>
    <w:rsid w:val="00FC4901"/>
    <w:rsid w:val="00FC4CAF"/>
    <w:rsid w:val="00FC640D"/>
    <w:rsid w:val="00FC67D2"/>
    <w:rsid w:val="00FC68AF"/>
    <w:rsid w:val="00FC6E7F"/>
    <w:rsid w:val="00FC7348"/>
    <w:rsid w:val="00FC7565"/>
    <w:rsid w:val="00FC7AC7"/>
    <w:rsid w:val="00FD01CD"/>
    <w:rsid w:val="00FD0696"/>
    <w:rsid w:val="00FD0879"/>
    <w:rsid w:val="00FD09FE"/>
    <w:rsid w:val="00FD174C"/>
    <w:rsid w:val="00FD2142"/>
    <w:rsid w:val="00FD24C8"/>
    <w:rsid w:val="00FD29FB"/>
    <w:rsid w:val="00FD2EE8"/>
    <w:rsid w:val="00FD2F47"/>
    <w:rsid w:val="00FD4537"/>
    <w:rsid w:val="00FD4606"/>
    <w:rsid w:val="00FD4A71"/>
    <w:rsid w:val="00FD4D45"/>
    <w:rsid w:val="00FD5504"/>
    <w:rsid w:val="00FD5997"/>
    <w:rsid w:val="00FD5CBC"/>
    <w:rsid w:val="00FD616B"/>
    <w:rsid w:val="00FD6B40"/>
    <w:rsid w:val="00FD6C6F"/>
    <w:rsid w:val="00FD7A39"/>
    <w:rsid w:val="00FD7D47"/>
    <w:rsid w:val="00FD7DB1"/>
    <w:rsid w:val="00FD7E07"/>
    <w:rsid w:val="00FD7FE1"/>
    <w:rsid w:val="00FE057C"/>
    <w:rsid w:val="00FE10C0"/>
    <w:rsid w:val="00FE162F"/>
    <w:rsid w:val="00FE190A"/>
    <w:rsid w:val="00FE204C"/>
    <w:rsid w:val="00FE2AED"/>
    <w:rsid w:val="00FE33D0"/>
    <w:rsid w:val="00FE3975"/>
    <w:rsid w:val="00FE58FA"/>
    <w:rsid w:val="00FE6491"/>
    <w:rsid w:val="00FE7463"/>
    <w:rsid w:val="00FF0431"/>
    <w:rsid w:val="00FF04C3"/>
    <w:rsid w:val="00FF066E"/>
    <w:rsid w:val="00FF0C3F"/>
    <w:rsid w:val="00FF28EF"/>
    <w:rsid w:val="00FF2EE8"/>
    <w:rsid w:val="00FF40D8"/>
    <w:rsid w:val="00FF4724"/>
    <w:rsid w:val="00FF4F94"/>
    <w:rsid w:val="00FF5DB6"/>
    <w:rsid w:val="00FF77BD"/>
    <w:rsid w:val="012EACFE"/>
    <w:rsid w:val="0142F976"/>
    <w:rsid w:val="014A1257"/>
    <w:rsid w:val="01762D5D"/>
    <w:rsid w:val="020D8216"/>
    <w:rsid w:val="0228B3E8"/>
    <w:rsid w:val="025EDAD0"/>
    <w:rsid w:val="02674E82"/>
    <w:rsid w:val="02963017"/>
    <w:rsid w:val="02A2AFB1"/>
    <w:rsid w:val="02D2489B"/>
    <w:rsid w:val="030DCC82"/>
    <w:rsid w:val="0348A636"/>
    <w:rsid w:val="039ECEC3"/>
    <w:rsid w:val="03BD1552"/>
    <w:rsid w:val="03FF28BD"/>
    <w:rsid w:val="041823A9"/>
    <w:rsid w:val="045BCE1E"/>
    <w:rsid w:val="04AD67B1"/>
    <w:rsid w:val="051FEA60"/>
    <w:rsid w:val="055A3BA9"/>
    <w:rsid w:val="0588236F"/>
    <w:rsid w:val="0616A9F8"/>
    <w:rsid w:val="06D33230"/>
    <w:rsid w:val="0700B14D"/>
    <w:rsid w:val="07486989"/>
    <w:rsid w:val="0799B517"/>
    <w:rsid w:val="07AF24A8"/>
    <w:rsid w:val="07BCC9E2"/>
    <w:rsid w:val="07D88BB9"/>
    <w:rsid w:val="07ED13C5"/>
    <w:rsid w:val="07F1BC10"/>
    <w:rsid w:val="080B7E16"/>
    <w:rsid w:val="084C9CD4"/>
    <w:rsid w:val="08634DDC"/>
    <w:rsid w:val="08842B6C"/>
    <w:rsid w:val="08951BD2"/>
    <w:rsid w:val="094190EF"/>
    <w:rsid w:val="09642E2E"/>
    <w:rsid w:val="09D5AFF7"/>
    <w:rsid w:val="09D9D874"/>
    <w:rsid w:val="0A4B5431"/>
    <w:rsid w:val="0A630E20"/>
    <w:rsid w:val="0A7E2317"/>
    <w:rsid w:val="0A827D22"/>
    <w:rsid w:val="0AEFC5D6"/>
    <w:rsid w:val="0B0AFD28"/>
    <w:rsid w:val="0B15AFF0"/>
    <w:rsid w:val="0B54E897"/>
    <w:rsid w:val="0BC5DFF9"/>
    <w:rsid w:val="0BE90657"/>
    <w:rsid w:val="0BFCFC39"/>
    <w:rsid w:val="0C030117"/>
    <w:rsid w:val="0C0E8958"/>
    <w:rsid w:val="0CB675C3"/>
    <w:rsid w:val="0CC5E2BE"/>
    <w:rsid w:val="0CE4DD4A"/>
    <w:rsid w:val="0CE518AD"/>
    <w:rsid w:val="0CE5E996"/>
    <w:rsid w:val="0D188C12"/>
    <w:rsid w:val="0D6DDFDD"/>
    <w:rsid w:val="0DC2AF63"/>
    <w:rsid w:val="0DDE98BB"/>
    <w:rsid w:val="0E3DB4F7"/>
    <w:rsid w:val="0EF8AD04"/>
    <w:rsid w:val="0F463198"/>
    <w:rsid w:val="0F98B51A"/>
    <w:rsid w:val="0FA61B20"/>
    <w:rsid w:val="0FAB6C5E"/>
    <w:rsid w:val="0FCE389B"/>
    <w:rsid w:val="0FD0BADC"/>
    <w:rsid w:val="0FD26F4C"/>
    <w:rsid w:val="100E7359"/>
    <w:rsid w:val="1010D2F2"/>
    <w:rsid w:val="1023A55A"/>
    <w:rsid w:val="104995F7"/>
    <w:rsid w:val="109A1B86"/>
    <w:rsid w:val="10BAF211"/>
    <w:rsid w:val="1134A85A"/>
    <w:rsid w:val="113A9FDF"/>
    <w:rsid w:val="116CC094"/>
    <w:rsid w:val="1191F293"/>
    <w:rsid w:val="11D908CE"/>
    <w:rsid w:val="11F436EF"/>
    <w:rsid w:val="12011EE0"/>
    <w:rsid w:val="12781213"/>
    <w:rsid w:val="1282D3F6"/>
    <w:rsid w:val="12BE6364"/>
    <w:rsid w:val="12CD9C23"/>
    <w:rsid w:val="12E92DFA"/>
    <w:rsid w:val="137D7CE0"/>
    <w:rsid w:val="143C5C2B"/>
    <w:rsid w:val="14DD8F4A"/>
    <w:rsid w:val="1512921C"/>
    <w:rsid w:val="1523E764"/>
    <w:rsid w:val="155F6FF9"/>
    <w:rsid w:val="15692D5E"/>
    <w:rsid w:val="1580EF59"/>
    <w:rsid w:val="15B60B6B"/>
    <w:rsid w:val="15BE423C"/>
    <w:rsid w:val="1622771C"/>
    <w:rsid w:val="162342AE"/>
    <w:rsid w:val="16B79A61"/>
    <w:rsid w:val="16D7C4F1"/>
    <w:rsid w:val="1712BBEF"/>
    <w:rsid w:val="171ACF0E"/>
    <w:rsid w:val="1724B2B8"/>
    <w:rsid w:val="17487869"/>
    <w:rsid w:val="1750E435"/>
    <w:rsid w:val="17A027EF"/>
    <w:rsid w:val="17A8C2D7"/>
    <w:rsid w:val="1812A388"/>
    <w:rsid w:val="181CCCC4"/>
    <w:rsid w:val="1876BC0D"/>
    <w:rsid w:val="18847CD8"/>
    <w:rsid w:val="1891B0ED"/>
    <w:rsid w:val="18C50209"/>
    <w:rsid w:val="18CA6D05"/>
    <w:rsid w:val="18F5CAAE"/>
    <w:rsid w:val="1914E9FA"/>
    <w:rsid w:val="191EA393"/>
    <w:rsid w:val="19AC1D3C"/>
    <w:rsid w:val="19D1BF45"/>
    <w:rsid w:val="19D9FA38"/>
    <w:rsid w:val="1AC74CBA"/>
    <w:rsid w:val="1AF6F1C7"/>
    <w:rsid w:val="1B21F6B3"/>
    <w:rsid w:val="1B2C9A1B"/>
    <w:rsid w:val="1B9516C9"/>
    <w:rsid w:val="1BA411FD"/>
    <w:rsid w:val="1BEC13AD"/>
    <w:rsid w:val="1C3EC422"/>
    <w:rsid w:val="1C574FB2"/>
    <w:rsid w:val="1C746F2C"/>
    <w:rsid w:val="1C8D301B"/>
    <w:rsid w:val="1CEB1694"/>
    <w:rsid w:val="1CF7E627"/>
    <w:rsid w:val="1D2AB9C4"/>
    <w:rsid w:val="1D400DB3"/>
    <w:rsid w:val="1D6FB96B"/>
    <w:rsid w:val="1DAC3E7C"/>
    <w:rsid w:val="1DB1E312"/>
    <w:rsid w:val="1DB9C76E"/>
    <w:rsid w:val="1DDB1473"/>
    <w:rsid w:val="1DDFA84A"/>
    <w:rsid w:val="1E4ED16A"/>
    <w:rsid w:val="1E5B86E7"/>
    <w:rsid w:val="1E7F34E2"/>
    <w:rsid w:val="1F6EF6A1"/>
    <w:rsid w:val="20393C6D"/>
    <w:rsid w:val="2070F54C"/>
    <w:rsid w:val="20844703"/>
    <w:rsid w:val="20B403AD"/>
    <w:rsid w:val="210F75AC"/>
    <w:rsid w:val="211D1683"/>
    <w:rsid w:val="21431FD6"/>
    <w:rsid w:val="214A8468"/>
    <w:rsid w:val="214E32E8"/>
    <w:rsid w:val="215B8EC1"/>
    <w:rsid w:val="21631A83"/>
    <w:rsid w:val="217A517D"/>
    <w:rsid w:val="219D42E3"/>
    <w:rsid w:val="21C1C725"/>
    <w:rsid w:val="21EA78A8"/>
    <w:rsid w:val="21FFC8EA"/>
    <w:rsid w:val="22308C48"/>
    <w:rsid w:val="224FE089"/>
    <w:rsid w:val="22682B81"/>
    <w:rsid w:val="22AF9315"/>
    <w:rsid w:val="22AFA54E"/>
    <w:rsid w:val="22B32B18"/>
    <w:rsid w:val="23188486"/>
    <w:rsid w:val="232F45A0"/>
    <w:rsid w:val="23389ACE"/>
    <w:rsid w:val="237715CE"/>
    <w:rsid w:val="23CEA3A3"/>
    <w:rsid w:val="2437AF62"/>
    <w:rsid w:val="244C0B5E"/>
    <w:rsid w:val="24B060D7"/>
    <w:rsid w:val="24EF66E5"/>
    <w:rsid w:val="256E12C8"/>
    <w:rsid w:val="256E48A2"/>
    <w:rsid w:val="25925CA2"/>
    <w:rsid w:val="25CCDFD2"/>
    <w:rsid w:val="25CE6B8B"/>
    <w:rsid w:val="25E54D5D"/>
    <w:rsid w:val="25E72D7A"/>
    <w:rsid w:val="25ECA873"/>
    <w:rsid w:val="26A2AEF5"/>
    <w:rsid w:val="26B4F0C6"/>
    <w:rsid w:val="272D4B6F"/>
    <w:rsid w:val="273460FE"/>
    <w:rsid w:val="275240FC"/>
    <w:rsid w:val="278CA988"/>
    <w:rsid w:val="2799899F"/>
    <w:rsid w:val="27B5E2D6"/>
    <w:rsid w:val="27C7BD0D"/>
    <w:rsid w:val="286EC322"/>
    <w:rsid w:val="28806284"/>
    <w:rsid w:val="288D46C2"/>
    <w:rsid w:val="28A0E4F8"/>
    <w:rsid w:val="28B5AD71"/>
    <w:rsid w:val="28B852ED"/>
    <w:rsid w:val="28F21533"/>
    <w:rsid w:val="28FA296C"/>
    <w:rsid w:val="2923977D"/>
    <w:rsid w:val="293CEE31"/>
    <w:rsid w:val="29607E7D"/>
    <w:rsid w:val="29651F4D"/>
    <w:rsid w:val="298CF1B5"/>
    <w:rsid w:val="29A2EE42"/>
    <w:rsid w:val="29DDFD3A"/>
    <w:rsid w:val="29E1AC64"/>
    <w:rsid w:val="29F7DF66"/>
    <w:rsid w:val="2AC9531C"/>
    <w:rsid w:val="2AF30D8C"/>
    <w:rsid w:val="2B023ABA"/>
    <w:rsid w:val="2B0DA1DE"/>
    <w:rsid w:val="2BA92326"/>
    <w:rsid w:val="2BDE9AE0"/>
    <w:rsid w:val="2C619016"/>
    <w:rsid w:val="2C681131"/>
    <w:rsid w:val="2CA16EDB"/>
    <w:rsid w:val="2CC73D8D"/>
    <w:rsid w:val="2D401A52"/>
    <w:rsid w:val="2D68265B"/>
    <w:rsid w:val="2D70C397"/>
    <w:rsid w:val="2D7FABA1"/>
    <w:rsid w:val="2D8A77B8"/>
    <w:rsid w:val="2E1A815F"/>
    <w:rsid w:val="2E2D38DB"/>
    <w:rsid w:val="2E5CC4FD"/>
    <w:rsid w:val="2E95A6C7"/>
    <w:rsid w:val="2EAC28F3"/>
    <w:rsid w:val="2EC26CD1"/>
    <w:rsid w:val="2EC6DDFD"/>
    <w:rsid w:val="2EDB3C95"/>
    <w:rsid w:val="2F178991"/>
    <w:rsid w:val="2F23B29C"/>
    <w:rsid w:val="2F308FD6"/>
    <w:rsid w:val="2F385B2F"/>
    <w:rsid w:val="2F64C879"/>
    <w:rsid w:val="2F6B5230"/>
    <w:rsid w:val="2F754D15"/>
    <w:rsid w:val="2F75CDA9"/>
    <w:rsid w:val="2FB7879D"/>
    <w:rsid w:val="2FD505F0"/>
    <w:rsid w:val="3005DB08"/>
    <w:rsid w:val="3044C2DC"/>
    <w:rsid w:val="308C576E"/>
    <w:rsid w:val="31043FE0"/>
    <w:rsid w:val="315ECC24"/>
    <w:rsid w:val="3190E078"/>
    <w:rsid w:val="31A71135"/>
    <w:rsid w:val="31AB6ECE"/>
    <w:rsid w:val="31DE5E63"/>
    <w:rsid w:val="3282587C"/>
    <w:rsid w:val="329FA1EA"/>
    <w:rsid w:val="32F2D373"/>
    <w:rsid w:val="333326CC"/>
    <w:rsid w:val="333F1323"/>
    <w:rsid w:val="33498A07"/>
    <w:rsid w:val="335006B8"/>
    <w:rsid w:val="33A89340"/>
    <w:rsid w:val="33D4239F"/>
    <w:rsid w:val="33DBB57A"/>
    <w:rsid w:val="34007D06"/>
    <w:rsid w:val="34755803"/>
    <w:rsid w:val="347F3225"/>
    <w:rsid w:val="34A03DAA"/>
    <w:rsid w:val="34A293C5"/>
    <w:rsid w:val="34AD0AD4"/>
    <w:rsid w:val="34D2A7A4"/>
    <w:rsid w:val="35D234C5"/>
    <w:rsid w:val="36159A9F"/>
    <w:rsid w:val="362C4E9B"/>
    <w:rsid w:val="366F5775"/>
    <w:rsid w:val="36AAE7AE"/>
    <w:rsid w:val="36B101A4"/>
    <w:rsid w:val="36B2D7B2"/>
    <w:rsid w:val="36B896C7"/>
    <w:rsid w:val="36DB888D"/>
    <w:rsid w:val="36F58605"/>
    <w:rsid w:val="36FFFC9B"/>
    <w:rsid w:val="3717AB41"/>
    <w:rsid w:val="371BA3AC"/>
    <w:rsid w:val="374BAA10"/>
    <w:rsid w:val="377756B4"/>
    <w:rsid w:val="377AB58E"/>
    <w:rsid w:val="37960C51"/>
    <w:rsid w:val="37B5DE7D"/>
    <w:rsid w:val="37CCFA4E"/>
    <w:rsid w:val="383B1E55"/>
    <w:rsid w:val="38690E58"/>
    <w:rsid w:val="387F1925"/>
    <w:rsid w:val="38B9F420"/>
    <w:rsid w:val="38C1B6EA"/>
    <w:rsid w:val="394E10A4"/>
    <w:rsid w:val="396B9FDA"/>
    <w:rsid w:val="39761181"/>
    <w:rsid w:val="39837619"/>
    <w:rsid w:val="3993BDBE"/>
    <w:rsid w:val="39B736FE"/>
    <w:rsid w:val="39BF3B54"/>
    <w:rsid w:val="3A280E64"/>
    <w:rsid w:val="3A67FC12"/>
    <w:rsid w:val="3A82DCB6"/>
    <w:rsid w:val="3ACAC4F4"/>
    <w:rsid w:val="3AFD2D2D"/>
    <w:rsid w:val="3B089841"/>
    <w:rsid w:val="3B29AFE9"/>
    <w:rsid w:val="3B48AF1E"/>
    <w:rsid w:val="3B68642B"/>
    <w:rsid w:val="3B7F5F90"/>
    <w:rsid w:val="3C028B8F"/>
    <w:rsid w:val="3C506C6F"/>
    <w:rsid w:val="3CAFF4F5"/>
    <w:rsid w:val="3CB5A40D"/>
    <w:rsid w:val="3CD7499F"/>
    <w:rsid w:val="3CFF70C7"/>
    <w:rsid w:val="3D251CF0"/>
    <w:rsid w:val="3D73F872"/>
    <w:rsid w:val="3D773075"/>
    <w:rsid w:val="3DAB2CAE"/>
    <w:rsid w:val="3DC2A1D4"/>
    <w:rsid w:val="3E14DE72"/>
    <w:rsid w:val="3E88C1AD"/>
    <w:rsid w:val="3EAEDC2F"/>
    <w:rsid w:val="3EF00454"/>
    <w:rsid w:val="3F6AC485"/>
    <w:rsid w:val="3F9046E2"/>
    <w:rsid w:val="3FD89E8A"/>
    <w:rsid w:val="4043ED4E"/>
    <w:rsid w:val="406AD01B"/>
    <w:rsid w:val="4078BF3C"/>
    <w:rsid w:val="40E13680"/>
    <w:rsid w:val="415650EA"/>
    <w:rsid w:val="41A99A49"/>
    <w:rsid w:val="41BD5B5F"/>
    <w:rsid w:val="41EC18D8"/>
    <w:rsid w:val="41F738A6"/>
    <w:rsid w:val="42611D5F"/>
    <w:rsid w:val="42758F39"/>
    <w:rsid w:val="42905501"/>
    <w:rsid w:val="42A22D58"/>
    <w:rsid w:val="42C743EB"/>
    <w:rsid w:val="432B758D"/>
    <w:rsid w:val="4362C392"/>
    <w:rsid w:val="43900E42"/>
    <w:rsid w:val="4392C26A"/>
    <w:rsid w:val="43CDB71B"/>
    <w:rsid w:val="43D8DF34"/>
    <w:rsid w:val="4413A9E7"/>
    <w:rsid w:val="442BD1CF"/>
    <w:rsid w:val="44331B2F"/>
    <w:rsid w:val="44437B32"/>
    <w:rsid w:val="44854312"/>
    <w:rsid w:val="44AA3016"/>
    <w:rsid w:val="44B0A4A4"/>
    <w:rsid w:val="44BBFAB9"/>
    <w:rsid w:val="44C218D5"/>
    <w:rsid w:val="44C8D095"/>
    <w:rsid w:val="4515EF83"/>
    <w:rsid w:val="4540C3DB"/>
    <w:rsid w:val="4552E03E"/>
    <w:rsid w:val="4552F77E"/>
    <w:rsid w:val="45BE3B2E"/>
    <w:rsid w:val="45D37EA4"/>
    <w:rsid w:val="46602203"/>
    <w:rsid w:val="46947CDD"/>
    <w:rsid w:val="46995256"/>
    <w:rsid w:val="46E2064F"/>
    <w:rsid w:val="47204DCF"/>
    <w:rsid w:val="47BA0A0C"/>
    <w:rsid w:val="47D04B39"/>
    <w:rsid w:val="488C8F0B"/>
    <w:rsid w:val="48904D56"/>
    <w:rsid w:val="48FCF9A8"/>
    <w:rsid w:val="4905CC12"/>
    <w:rsid w:val="4905E0D9"/>
    <w:rsid w:val="4923CD96"/>
    <w:rsid w:val="492CECB6"/>
    <w:rsid w:val="496110BA"/>
    <w:rsid w:val="499C68E3"/>
    <w:rsid w:val="4A0C1714"/>
    <w:rsid w:val="4A138C96"/>
    <w:rsid w:val="4A1AC75C"/>
    <w:rsid w:val="4AA3DFEF"/>
    <w:rsid w:val="4AB5F0B0"/>
    <w:rsid w:val="4ACFC4A0"/>
    <w:rsid w:val="4AF7F40D"/>
    <w:rsid w:val="4B06C4EA"/>
    <w:rsid w:val="4B0FB470"/>
    <w:rsid w:val="4B0FBDA1"/>
    <w:rsid w:val="4B1EAAD2"/>
    <w:rsid w:val="4B587E5B"/>
    <w:rsid w:val="4B614FEB"/>
    <w:rsid w:val="4BD439E2"/>
    <w:rsid w:val="4BDB6094"/>
    <w:rsid w:val="4C3D482F"/>
    <w:rsid w:val="4C4D7B88"/>
    <w:rsid w:val="4C983E8E"/>
    <w:rsid w:val="4CB58A0B"/>
    <w:rsid w:val="4CD4FDB1"/>
    <w:rsid w:val="4CEEC9F4"/>
    <w:rsid w:val="4CEF7B97"/>
    <w:rsid w:val="4D17C57C"/>
    <w:rsid w:val="4D40B2CD"/>
    <w:rsid w:val="4D93225B"/>
    <w:rsid w:val="4D99A39B"/>
    <w:rsid w:val="4D9E0C84"/>
    <w:rsid w:val="4E05C76D"/>
    <w:rsid w:val="4E4CC43E"/>
    <w:rsid w:val="4E8224CE"/>
    <w:rsid w:val="4F80CBCC"/>
    <w:rsid w:val="4F9BD217"/>
    <w:rsid w:val="4FEA536E"/>
    <w:rsid w:val="4FF3CB08"/>
    <w:rsid w:val="5010AE7E"/>
    <w:rsid w:val="501B75BD"/>
    <w:rsid w:val="50A0DEAC"/>
    <w:rsid w:val="50A1B39C"/>
    <w:rsid w:val="50B0EEFF"/>
    <w:rsid w:val="50D2BC01"/>
    <w:rsid w:val="512564BE"/>
    <w:rsid w:val="5137BE54"/>
    <w:rsid w:val="51547083"/>
    <w:rsid w:val="5162CB16"/>
    <w:rsid w:val="5167AE0C"/>
    <w:rsid w:val="51A4663E"/>
    <w:rsid w:val="51D5F70F"/>
    <w:rsid w:val="521911A7"/>
    <w:rsid w:val="521BF394"/>
    <w:rsid w:val="525B7A56"/>
    <w:rsid w:val="5260DDAB"/>
    <w:rsid w:val="5282590D"/>
    <w:rsid w:val="5306FCDB"/>
    <w:rsid w:val="53767AB9"/>
    <w:rsid w:val="537D254E"/>
    <w:rsid w:val="53FE2B8D"/>
    <w:rsid w:val="5437683D"/>
    <w:rsid w:val="5457F396"/>
    <w:rsid w:val="54617CA5"/>
    <w:rsid w:val="546F5F07"/>
    <w:rsid w:val="548CCB18"/>
    <w:rsid w:val="54B653EB"/>
    <w:rsid w:val="54E2D6D3"/>
    <w:rsid w:val="551BBBEC"/>
    <w:rsid w:val="553FEF37"/>
    <w:rsid w:val="5557280D"/>
    <w:rsid w:val="55BB8586"/>
    <w:rsid w:val="564F770E"/>
    <w:rsid w:val="5664F36B"/>
    <w:rsid w:val="567B5D6E"/>
    <w:rsid w:val="56F2D953"/>
    <w:rsid w:val="570534B7"/>
    <w:rsid w:val="5715D848"/>
    <w:rsid w:val="5739E5B7"/>
    <w:rsid w:val="5752A85A"/>
    <w:rsid w:val="5768BBEA"/>
    <w:rsid w:val="57AD230C"/>
    <w:rsid w:val="57B9CD1C"/>
    <w:rsid w:val="58D11E91"/>
    <w:rsid w:val="58FFD195"/>
    <w:rsid w:val="5926E0A1"/>
    <w:rsid w:val="593F32D5"/>
    <w:rsid w:val="593FB74F"/>
    <w:rsid w:val="596528C9"/>
    <w:rsid w:val="59BF491C"/>
    <w:rsid w:val="59CA1AA6"/>
    <w:rsid w:val="5A0D01D7"/>
    <w:rsid w:val="5A32D84F"/>
    <w:rsid w:val="5A4C9B59"/>
    <w:rsid w:val="5A66D8DD"/>
    <w:rsid w:val="5A76D7CB"/>
    <w:rsid w:val="5A839A1E"/>
    <w:rsid w:val="5AAF8F2B"/>
    <w:rsid w:val="5AB6E0F0"/>
    <w:rsid w:val="5AFD0EC2"/>
    <w:rsid w:val="5B0BFF73"/>
    <w:rsid w:val="5B39F4CE"/>
    <w:rsid w:val="5B49E23F"/>
    <w:rsid w:val="5B51D6F8"/>
    <w:rsid w:val="5B7FCAFC"/>
    <w:rsid w:val="5B9F28E3"/>
    <w:rsid w:val="5BADB9E1"/>
    <w:rsid w:val="5C154C95"/>
    <w:rsid w:val="5C3EFB8B"/>
    <w:rsid w:val="5C679223"/>
    <w:rsid w:val="5CA36BFC"/>
    <w:rsid w:val="5D3CD712"/>
    <w:rsid w:val="5D693774"/>
    <w:rsid w:val="5D7B01C4"/>
    <w:rsid w:val="5DD94576"/>
    <w:rsid w:val="5DE6DDED"/>
    <w:rsid w:val="5E14C369"/>
    <w:rsid w:val="5E242CBE"/>
    <w:rsid w:val="5E37363E"/>
    <w:rsid w:val="5E3B6084"/>
    <w:rsid w:val="5E4F9A40"/>
    <w:rsid w:val="5ED6A946"/>
    <w:rsid w:val="5EED40F4"/>
    <w:rsid w:val="5F0FE6D7"/>
    <w:rsid w:val="5F576FE0"/>
    <w:rsid w:val="5FEB6C84"/>
    <w:rsid w:val="6007E824"/>
    <w:rsid w:val="606C38DF"/>
    <w:rsid w:val="607555A1"/>
    <w:rsid w:val="60B28EE7"/>
    <w:rsid w:val="60E8D8FB"/>
    <w:rsid w:val="60EE6C6A"/>
    <w:rsid w:val="612C9F8B"/>
    <w:rsid w:val="615CE905"/>
    <w:rsid w:val="616C7341"/>
    <w:rsid w:val="6175C0B5"/>
    <w:rsid w:val="61A7BD8B"/>
    <w:rsid w:val="61AE47B9"/>
    <w:rsid w:val="623C2872"/>
    <w:rsid w:val="6298B770"/>
    <w:rsid w:val="62F5FBD8"/>
    <w:rsid w:val="62FBF398"/>
    <w:rsid w:val="63768AC3"/>
    <w:rsid w:val="6399FBA3"/>
    <w:rsid w:val="63A6AB5A"/>
    <w:rsid w:val="63B6BB4B"/>
    <w:rsid w:val="64321448"/>
    <w:rsid w:val="64428785"/>
    <w:rsid w:val="6459F57A"/>
    <w:rsid w:val="647277A9"/>
    <w:rsid w:val="6489AFAC"/>
    <w:rsid w:val="64BD0670"/>
    <w:rsid w:val="64C8C9CB"/>
    <w:rsid w:val="650B2343"/>
    <w:rsid w:val="650DA1B4"/>
    <w:rsid w:val="6533F410"/>
    <w:rsid w:val="656D597A"/>
    <w:rsid w:val="656D7198"/>
    <w:rsid w:val="65857126"/>
    <w:rsid w:val="65930F85"/>
    <w:rsid w:val="659B32AD"/>
    <w:rsid w:val="65DB88B7"/>
    <w:rsid w:val="6646BA3C"/>
    <w:rsid w:val="66546B38"/>
    <w:rsid w:val="66E459BB"/>
    <w:rsid w:val="66EDE475"/>
    <w:rsid w:val="66FA368D"/>
    <w:rsid w:val="6738052F"/>
    <w:rsid w:val="676B3864"/>
    <w:rsid w:val="67F952ED"/>
    <w:rsid w:val="68214712"/>
    <w:rsid w:val="6828F4F5"/>
    <w:rsid w:val="68884EBE"/>
    <w:rsid w:val="68A718EC"/>
    <w:rsid w:val="6904C334"/>
    <w:rsid w:val="690D5F6C"/>
    <w:rsid w:val="6936E126"/>
    <w:rsid w:val="694949ED"/>
    <w:rsid w:val="69D755E9"/>
    <w:rsid w:val="6A1A1302"/>
    <w:rsid w:val="6A62CB15"/>
    <w:rsid w:val="6A8A77F0"/>
    <w:rsid w:val="6A8CD221"/>
    <w:rsid w:val="6AF0A118"/>
    <w:rsid w:val="6AF0F696"/>
    <w:rsid w:val="6B010461"/>
    <w:rsid w:val="6B388FAA"/>
    <w:rsid w:val="6B76F288"/>
    <w:rsid w:val="6BE0F635"/>
    <w:rsid w:val="6C25E22E"/>
    <w:rsid w:val="6C371794"/>
    <w:rsid w:val="6C581562"/>
    <w:rsid w:val="6C68A8EC"/>
    <w:rsid w:val="6C7C4680"/>
    <w:rsid w:val="6C9E60CC"/>
    <w:rsid w:val="6CD650A2"/>
    <w:rsid w:val="6D0663F7"/>
    <w:rsid w:val="6D777C42"/>
    <w:rsid w:val="6D84C3CF"/>
    <w:rsid w:val="6DA16DF1"/>
    <w:rsid w:val="6DCDA55B"/>
    <w:rsid w:val="6DF20AA0"/>
    <w:rsid w:val="6DF4888A"/>
    <w:rsid w:val="6E144704"/>
    <w:rsid w:val="6E1A0763"/>
    <w:rsid w:val="6E291822"/>
    <w:rsid w:val="6E2A68BE"/>
    <w:rsid w:val="6E75149A"/>
    <w:rsid w:val="6E876613"/>
    <w:rsid w:val="6EB34B2A"/>
    <w:rsid w:val="6EC3FD4F"/>
    <w:rsid w:val="6EE8D1AF"/>
    <w:rsid w:val="6F5C9E8C"/>
    <w:rsid w:val="6F9827CF"/>
    <w:rsid w:val="6FB5CE1D"/>
    <w:rsid w:val="6FF5E9D3"/>
    <w:rsid w:val="709FA1F9"/>
    <w:rsid w:val="70BF8E11"/>
    <w:rsid w:val="71028422"/>
    <w:rsid w:val="71351AF9"/>
    <w:rsid w:val="71743DC7"/>
    <w:rsid w:val="71A4D6A0"/>
    <w:rsid w:val="71D03308"/>
    <w:rsid w:val="71D6C4BC"/>
    <w:rsid w:val="71D847C2"/>
    <w:rsid w:val="71D8B249"/>
    <w:rsid w:val="720BF6F9"/>
    <w:rsid w:val="7227A070"/>
    <w:rsid w:val="728E7A1F"/>
    <w:rsid w:val="72DE4B03"/>
    <w:rsid w:val="73A52632"/>
    <w:rsid w:val="73B3D956"/>
    <w:rsid w:val="73B4116E"/>
    <w:rsid w:val="73BB7B16"/>
    <w:rsid w:val="73C8AD63"/>
    <w:rsid w:val="73CE3835"/>
    <w:rsid w:val="73EA9F6D"/>
    <w:rsid w:val="742A9D86"/>
    <w:rsid w:val="744FAE85"/>
    <w:rsid w:val="74945F21"/>
    <w:rsid w:val="74C9EA8D"/>
    <w:rsid w:val="74E20148"/>
    <w:rsid w:val="752CEEC2"/>
    <w:rsid w:val="758026DD"/>
    <w:rsid w:val="7617F168"/>
    <w:rsid w:val="762C32AE"/>
    <w:rsid w:val="76A9D91C"/>
    <w:rsid w:val="76B096EC"/>
    <w:rsid w:val="76BAEC78"/>
    <w:rsid w:val="76D1C3E6"/>
    <w:rsid w:val="76D21C05"/>
    <w:rsid w:val="76D6B9D2"/>
    <w:rsid w:val="76E9D645"/>
    <w:rsid w:val="76F66626"/>
    <w:rsid w:val="7796F359"/>
    <w:rsid w:val="77A19801"/>
    <w:rsid w:val="77B43EEE"/>
    <w:rsid w:val="77D5CCA7"/>
    <w:rsid w:val="7842D475"/>
    <w:rsid w:val="78847149"/>
    <w:rsid w:val="78F59BFE"/>
    <w:rsid w:val="7932606B"/>
    <w:rsid w:val="795C41C5"/>
    <w:rsid w:val="7966FE32"/>
    <w:rsid w:val="7998AAFA"/>
    <w:rsid w:val="79A0799E"/>
    <w:rsid w:val="7A23221A"/>
    <w:rsid w:val="7AC0F846"/>
    <w:rsid w:val="7B154D99"/>
    <w:rsid w:val="7B421F70"/>
    <w:rsid w:val="7B50D765"/>
    <w:rsid w:val="7B8A541D"/>
    <w:rsid w:val="7BF61A05"/>
    <w:rsid w:val="7BFD6CEA"/>
    <w:rsid w:val="7C349681"/>
    <w:rsid w:val="7CA34AD4"/>
    <w:rsid w:val="7CC2A6AD"/>
    <w:rsid w:val="7CCC03F8"/>
    <w:rsid w:val="7CDF0FD3"/>
    <w:rsid w:val="7D60C92D"/>
    <w:rsid w:val="7D79B51F"/>
    <w:rsid w:val="7D7FAE29"/>
    <w:rsid w:val="7D8B532B"/>
    <w:rsid w:val="7DBADED3"/>
    <w:rsid w:val="7DD9CFF4"/>
    <w:rsid w:val="7DDD5B4D"/>
    <w:rsid w:val="7E2820C7"/>
    <w:rsid w:val="7E3D0380"/>
    <w:rsid w:val="7E665C54"/>
    <w:rsid w:val="7EA4C1A9"/>
    <w:rsid w:val="7EC2366D"/>
    <w:rsid w:val="7EC9291C"/>
    <w:rsid w:val="7EF46B9B"/>
    <w:rsid w:val="7EF724C2"/>
    <w:rsid w:val="7F106C73"/>
    <w:rsid w:val="7F3B429D"/>
    <w:rsid w:val="7F3F6529"/>
    <w:rsid w:val="7F5DA94C"/>
    <w:rsid w:val="7FA918DF"/>
    <w:rsid w:val="7FC529DB"/>
    <w:rsid w:val="7FE3862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3B0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Work Sans" w:eastAsiaTheme="minorHAnsi" w:hAnsi="Work Sans" w:cstheme="minorBidi"/>
        <w:color w:val="2F3A48" w:themeColor="text2"/>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17C"/>
    <w:pPr>
      <w:keepLines/>
      <w:spacing w:before="240" w:after="240" w:line="360" w:lineRule="auto"/>
    </w:pPr>
  </w:style>
  <w:style w:type="paragraph" w:styleId="Heading1">
    <w:name w:val="heading 1"/>
    <w:next w:val="Normal"/>
    <w:link w:val="Heading1Char"/>
    <w:uiPriority w:val="9"/>
    <w:qFormat/>
    <w:rsid w:val="00606532"/>
    <w:pPr>
      <w:keepNext/>
      <w:pageBreakBefore/>
      <w:spacing w:before="360" w:after="240"/>
      <w:outlineLvl w:val="0"/>
    </w:pPr>
    <w:rPr>
      <w:rFonts w:ascii="Work Sans Medium" w:hAnsi="Work Sans Medium" w:cs="Calibri"/>
      <w:bCs/>
      <w:sz w:val="36"/>
      <w:szCs w:val="36"/>
    </w:rPr>
  </w:style>
  <w:style w:type="paragraph" w:styleId="Heading2">
    <w:name w:val="heading 2"/>
    <w:basedOn w:val="Normal"/>
    <w:next w:val="Normal"/>
    <w:link w:val="Heading2Char"/>
    <w:uiPriority w:val="9"/>
    <w:unhideWhenUsed/>
    <w:qFormat/>
    <w:rsid w:val="00606532"/>
    <w:pPr>
      <w:keepNext/>
      <w:autoSpaceDE w:val="0"/>
      <w:autoSpaceDN w:val="0"/>
      <w:adjustRightInd w:val="0"/>
      <w:spacing w:beforeLines="150" w:before="150" w:afterLines="100" w:after="100"/>
      <w:outlineLvl w:val="1"/>
    </w:pPr>
    <w:rPr>
      <w:rFonts w:ascii="Work Sans SemiBold" w:hAnsi="Work Sans SemiBold" w:cs="Calibri"/>
      <w:bCs/>
      <w:color w:val="1B598C" w:themeColor="text1"/>
      <w:sz w:val="28"/>
      <w:szCs w:val="36"/>
    </w:rPr>
  </w:style>
  <w:style w:type="paragraph" w:styleId="Heading3">
    <w:name w:val="heading 3"/>
    <w:basedOn w:val="Normal"/>
    <w:next w:val="Normal"/>
    <w:link w:val="Heading3Char"/>
    <w:uiPriority w:val="9"/>
    <w:unhideWhenUsed/>
    <w:qFormat/>
    <w:rsid w:val="00AB7525"/>
    <w:pPr>
      <w:keepNext/>
      <w:autoSpaceDE w:val="0"/>
      <w:autoSpaceDN w:val="0"/>
      <w:adjustRightInd w:val="0"/>
      <w:spacing w:beforeLines="150" w:before="150" w:afterLines="100" w:after="100"/>
      <w:outlineLvl w:val="2"/>
    </w:pPr>
    <w:rPr>
      <w:rFonts w:ascii="Work Sans SemiBold" w:hAnsi="Work Sans SemiBold"/>
      <w:szCs w:val="28"/>
    </w:rPr>
  </w:style>
  <w:style w:type="paragraph" w:styleId="Heading4">
    <w:name w:val="heading 4"/>
    <w:basedOn w:val="Normal"/>
    <w:next w:val="Normal"/>
    <w:link w:val="Heading4Char"/>
    <w:uiPriority w:val="9"/>
    <w:unhideWhenUsed/>
    <w:qFormat/>
    <w:rsid w:val="001E5E80"/>
    <w:pPr>
      <w:keepNext/>
      <w:spacing w:before="360"/>
      <w:outlineLvl w:val="3"/>
    </w:pPr>
    <w:rPr>
      <w:rFonts w:asciiTheme="minorHAnsi" w:hAnsiTheme="minorHAnsi"/>
      <w:b/>
    </w:rPr>
  </w:style>
  <w:style w:type="paragraph" w:styleId="Heading5">
    <w:name w:val="heading 5"/>
    <w:basedOn w:val="Heading4"/>
    <w:next w:val="Normal"/>
    <w:link w:val="Heading5Char"/>
    <w:uiPriority w:val="9"/>
    <w:unhideWhenUsed/>
    <w:qFormat/>
    <w:rsid w:val="003A5708"/>
    <w:pPr>
      <w:outlineLvl w:val="4"/>
    </w:pPr>
    <w:rPr>
      <w:lang w:val="en-GB"/>
    </w:rPr>
  </w:style>
  <w:style w:type="paragraph" w:styleId="Heading6">
    <w:name w:val="heading 6"/>
    <w:basedOn w:val="Normal"/>
    <w:next w:val="Normal"/>
    <w:link w:val="Heading6Char"/>
    <w:uiPriority w:val="9"/>
    <w:unhideWhenUsed/>
    <w:rsid w:val="001E5E80"/>
    <w:pPr>
      <w:keepNext/>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rsid w:val="001E5E80"/>
    <w:pPr>
      <w:keepNext/>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122655"/>
    <w:pPr>
      <w:keepNext/>
      <w:spacing w:before="40" w:after="0"/>
      <w:outlineLvl w:val="7"/>
    </w:pPr>
    <w:rPr>
      <w:rFonts w:asciiTheme="majorHAnsi" w:eastAsiaTheme="majorEastAsia" w:hAnsiTheme="majorHAnsi" w:cstheme="majorBidi"/>
      <w:color w:val="2374B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F353A"/>
    <w:pPr>
      <w:spacing w:before="100" w:beforeAutospacing="1" w:after="100" w:afterAutospacing="1"/>
    </w:pPr>
    <w:rPr>
      <w:rFonts w:asciiTheme="minorHAnsi" w:eastAsia="Times New Roman" w:hAnsiTheme="minorHAnsi" w:cs="Times New Roman"/>
      <w:lang w:eastAsia="en-GB"/>
    </w:rPr>
  </w:style>
  <w:style w:type="character" w:customStyle="1" w:styleId="Heading1Char">
    <w:name w:val="Heading 1 Char"/>
    <w:basedOn w:val="DefaultParagraphFont"/>
    <w:link w:val="Heading1"/>
    <w:uiPriority w:val="9"/>
    <w:rsid w:val="00606532"/>
    <w:rPr>
      <w:rFonts w:ascii="Work Sans Medium" w:hAnsi="Work Sans Medium" w:cs="Calibri"/>
      <w:bCs/>
      <w:sz w:val="36"/>
      <w:szCs w:val="36"/>
    </w:rPr>
  </w:style>
  <w:style w:type="paragraph" w:styleId="Header">
    <w:name w:val="header"/>
    <w:basedOn w:val="Normal"/>
    <w:link w:val="HeaderChar"/>
    <w:uiPriority w:val="99"/>
    <w:unhideWhenUsed/>
    <w:rsid w:val="007C17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7E0"/>
    <w:rPr>
      <w:rFonts w:ascii="Century Gothic" w:hAnsi="Century Gothic"/>
      <w:sz w:val="20"/>
    </w:rPr>
  </w:style>
  <w:style w:type="paragraph" w:styleId="Footer">
    <w:name w:val="footer"/>
    <w:basedOn w:val="Normal"/>
    <w:link w:val="FooterChar"/>
    <w:uiPriority w:val="99"/>
    <w:unhideWhenUsed/>
    <w:rsid w:val="007C17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7E0"/>
    <w:rPr>
      <w:rFonts w:ascii="Century Gothic" w:hAnsi="Century Gothic"/>
      <w:sz w:val="20"/>
    </w:rPr>
  </w:style>
  <w:style w:type="character" w:styleId="PageNumber">
    <w:name w:val="page number"/>
    <w:basedOn w:val="DefaultParagraphFont"/>
    <w:uiPriority w:val="99"/>
    <w:semiHidden/>
    <w:unhideWhenUsed/>
    <w:rsid w:val="007C17E0"/>
  </w:style>
  <w:style w:type="table" w:styleId="TableGrid">
    <w:name w:val="Table Grid"/>
    <w:basedOn w:val="TableNormal"/>
    <w:uiPriority w:val="39"/>
    <w:rsid w:val="007C17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7C17E0"/>
    <w:tblPr>
      <w:tblStyleRowBandSize w:val="1"/>
      <w:tblStyleColBandSize w:val="1"/>
    </w:tblPr>
    <w:tblStylePr w:type="firstRow">
      <w:rPr>
        <w:b/>
        <w:bCs/>
        <w:caps/>
      </w:rPr>
      <w:tblPr/>
      <w:tcPr>
        <w:tcBorders>
          <w:bottom w:val="single" w:sz="4" w:space="0" w:color="6EAEE3"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6EAEE3" w:themeColor="text1" w:themeTint="80"/>
        </w:tcBorders>
      </w:tcPr>
    </w:tblStylePr>
    <w:tblStylePr w:type="lastCol">
      <w:rPr>
        <w:b/>
        <w:bCs/>
        <w:caps/>
      </w:rPr>
      <w:tblPr/>
      <w:tcPr>
        <w:tcBorders>
          <w:left w:val="nil"/>
        </w:tcBorders>
      </w:tcPr>
    </w:tblStylePr>
    <w:tblStylePr w:type="band1Vert">
      <w:tblPr/>
      <w:tcPr>
        <w:shd w:val="clear" w:color="auto" w:fill="CED9F0" w:themeFill="background1" w:themeFillShade="F2"/>
      </w:tcPr>
    </w:tblStylePr>
    <w:tblStylePr w:type="band1Horz">
      <w:tblPr/>
      <w:tcPr>
        <w:shd w:val="clear" w:color="auto" w:fill="CED9F0"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0783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9F0" w:themeFill="background1" w:themeFillShade="F2"/>
      </w:tcPr>
    </w:tblStylePr>
    <w:tblStylePr w:type="band1Horz">
      <w:tblPr/>
      <w:tcPr>
        <w:shd w:val="clear" w:color="auto" w:fill="CED9F0" w:themeFill="background1" w:themeFillShade="F2"/>
      </w:tcPr>
    </w:tblStylePr>
  </w:style>
  <w:style w:type="character" w:customStyle="1" w:styleId="Heading2Char">
    <w:name w:val="Heading 2 Char"/>
    <w:basedOn w:val="DefaultParagraphFont"/>
    <w:link w:val="Heading2"/>
    <w:uiPriority w:val="9"/>
    <w:rsid w:val="00606532"/>
    <w:rPr>
      <w:rFonts w:ascii="Work Sans SemiBold" w:hAnsi="Work Sans SemiBold" w:cs="Calibri"/>
      <w:bCs/>
      <w:color w:val="1B598C" w:themeColor="text1"/>
      <w:sz w:val="28"/>
      <w:szCs w:val="36"/>
    </w:rPr>
  </w:style>
  <w:style w:type="character" w:customStyle="1" w:styleId="Heading3Char">
    <w:name w:val="Heading 3 Char"/>
    <w:basedOn w:val="DefaultParagraphFont"/>
    <w:link w:val="Heading3"/>
    <w:uiPriority w:val="9"/>
    <w:rsid w:val="00AB7525"/>
    <w:rPr>
      <w:rFonts w:ascii="Work Sans SemiBold" w:hAnsi="Work Sans SemiBold"/>
      <w:color w:val="2F3A48" w:themeColor="text2"/>
      <w:szCs w:val="28"/>
    </w:rPr>
  </w:style>
  <w:style w:type="paragraph" w:styleId="IntenseQuote">
    <w:name w:val="Intense Quote"/>
    <w:basedOn w:val="Normal"/>
    <w:next w:val="Normal"/>
    <w:link w:val="IntenseQuoteChar"/>
    <w:uiPriority w:val="30"/>
    <w:qFormat/>
    <w:rsid w:val="00D46920"/>
    <w:pPr>
      <w:pBdr>
        <w:top w:val="single" w:sz="4" w:space="10" w:color="54C6D3" w:themeColor="accent1"/>
        <w:bottom w:val="single" w:sz="4" w:space="10" w:color="54C6D3" w:themeColor="accent1"/>
      </w:pBdr>
      <w:spacing w:before="360" w:after="360"/>
      <w:ind w:left="864" w:right="864"/>
      <w:jc w:val="center"/>
    </w:pPr>
    <w:rPr>
      <w:i/>
      <w:iCs/>
      <w:color w:val="1B598C" w:themeColor="text1"/>
    </w:rPr>
  </w:style>
  <w:style w:type="paragraph" w:styleId="ListParagraph">
    <w:name w:val="List Paragraph"/>
    <w:basedOn w:val="Normal"/>
    <w:link w:val="ListParagraphChar"/>
    <w:uiPriority w:val="34"/>
    <w:qFormat/>
    <w:rsid w:val="00CE13A2"/>
    <w:pPr>
      <w:numPr>
        <w:numId w:val="10"/>
      </w:numPr>
    </w:pPr>
  </w:style>
  <w:style w:type="table" w:styleId="PlainTable5">
    <w:name w:val="Plain Table 5"/>
    <w:basedOn w:val="TableNormal"/>
    <w:uiPriority w:val="45"/>
    <w:rsid w:val="000E1B2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EAEE3" w:themeColor="text1" w:themeTint="80"/>
        </w:tcBorders>
        <w:shd w:val="clear" w:color="auto" w:fill="E1E8F6" w:themeFill="background1"/>
      </w:tcPr>
    </w:tblStylePr>
    <w:tblStylePr w:type="lastRow">
      <w:rPr>
        <w:rFonts w:asciiTheme="majorHAnsi" w:eastAsiaTheme="majorEastAsia" w:hAnsiTheme="majorHAnsi" w:cstheme="majorBidi"/>
        <w:i/>
        <w:iCs/>
        <w:sz w:val="26"/>
      </w:rPr>
      <w:tblPr/>
      <w:tcPr>
        <w:tcBorders>
          <w:top w:val="single" w:sz="4" w:space="0" w:color="6EAEE3" w:themeColor="text1" w:themeTint="80"/>
        </w:tcBorders>
        <w:shd w:val="clear" w:color="auto" w:fill="E1E8F6"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EAEE3" w:themeColor="text1" w:themeTint="80"/>
        </w:tcBorders>
        <w:shd w:val="clear" w:color="auto" w:fill="E1E8F6" w:themeFill="background1"/>
      </w:tcPr>
    </w:tblStylePr>
    <w:tblStylePr w:type="lastCol">
      <w:rPr>
        <w:rFonts w:asciiTheme="majorHAnsi" w:eastAsiaTheme="majorEastAsia" w:hAnsiTheme="majorHAnsi" w:cstheme="majorBidi"/>
        <w:i/>
        <w:iCs/>
        <w:sz w:val="26"/>
      </w:rPr>
      <w:tblPr/>
      <w:tcPr>
        <w:tcBorders>
          <w:left w:val="single" w:sz="4" w:space="0" w:color="6EAEE3" w:themeColor="text1" w:themeTint="80"/>
        </w:tcBorders>
        <w:shd w:val="clear" w:color="auto" w:fill="E1E8F6" w:themeFill="background1"/>
      </w:tcPr>
    </w:tblStylePr>
    <w:tblStylePr w:type="band1Vert">
      <w:tblPr/>
      <w:tcPr>
        <w:shd w:val="clear" w:color="auto" w:fill="CED9F0" w:themeFill="background1" w:themeFillShade="F2"/>
      </w:tcPr>
    </w:tblStylePr>
    <w:tblStylePr w:type="band1Horz">
      <w:tblPr/>
      <w:tcPr>
        <w:shd w:val="clear" w:color="auto" w:fill="CED9F0"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IntenseQuoteChar">
    <w:name w:val="Intense Quote Char"/>
    <w:basedOn w:val="DefaultParagraphFont"/>
    <w:link w:val="IntenseQuote"/>
    <w:uiPriority w:val="30"/>
    <w:rsid w:val="00D46920"/>
    <w:rPr>
      <w:rFonts w:ascii="Verdana" w:hAnsi="Verdana"/>
      <w:i/>
      <w:iCs/>
      <w:color w:val="1B598C" w:themeColor="text1"/>
    </w:rPr>
  </w:style>
  <w:style w:type="character" w:styleId="SubtleReference">
    <w:name w:val="Subtle Reference"/>
    <w:basedOn w:val="DefaultParagraphFont"/>
    <w:uiPriority w:val="31"/>
    <w:rsid w:val="00A259BB"/>
    <w:rPr>
      <w:smallCaps/>
      <w:color w:val="auto"/>
    </w:rPr>
  </w:style>
  <w:style w:type="character" w:styleId="IntenseReference">
    <w:name w:val="Intense Reference"/>
    <w:basedOn w:val="DefaultParagraphFont"/>
    <w:uiPriority w:val="32"/>
    <w:qFormat/>
    <w:rsid w:val="00A259BB"/>
    <w:rPr>
      <w:b/>
      <w:bCs/>
      <w:smallCaps/>
      <w:color w:val="auto"/>
      <w:spacing w:val="5"/>
    </w:rPr>
  </w:style>
  <w:style w:type="character" w:styleId="IntenseEmphasis">
    <w:name w:val="Intense Emphasis"/>
    <w:basedOn w:val="DefaultParagraphFont"/>
    <w:uiPriority w:val="21"/>
    <w:qFormat/>
    <w:rsid w:val="00D46920"/>
    <w:rPr>
      <w:b/>
      <w:i/>
      <w:iCs/>
      <w:color w:val="2F3A48" w:themeColor="text2"/>
    </w:rPr>
  </w:style>
  <w:style w:type="character" w:styleId="Emphasis">
    <w:name w:val="Emphasis"/>
    <w:basedOn w:val="DefaultParagraphFont"/>
    <w:uiPriority w:val="20"/>
    <w:qFormat/>
    <w:rsid w:val="00D46920"/>
    <w:rPr>
      <w:b/>
      <w:i/>
      <w:iCs/>
    </w:rPr>
  </w:style>
  <w:style w:type="numbering" w:customStyle="1" w:styleId="Style1">
    <w:name w:val="Style1"/>
    <w:basedOn w:val="NoList"/>
    <w:uiPriority w:val="99"/>
    <w:rsid w:val="00662E8F"/>
    <w:pPr>
      <w:numPr>
        <w:numId w:val="1"/>
      </w:numPr>
    </w:pPr>
  </w:style>
  <w:style w:type="numbering" w:customStyle="1" w:styleId="ABC">
    <w:name w:val="ABC"/>
    <w:basedOn w:val="NoList"/>
    <w:uiPriority w:val="99"/>
    <w:rsid w:val="00662E8F"/>
    <w:pPr>
      <w:numPr>
        <w:numId w:val="2"/>
      </w:numPr>
    </w:pPr>
  </w:style>
  <w:style w:type="table" w:customStyle="1" w:styleId="NACC">
    <w:name w:val="NACC"/>
    <w:basedOn w:val="TableNormal"/>
    <w:uiPriority w:val="99"/>
    <w:rsid w:val="00363121"/>
    <w:pPr>
      <w:spacing w:before="120" w:after="120" w:line="360" w:lineRule="auto"/>
      <w:ind w:left="227"/>
    </w:pPr>
    <w:tblPr>
      <w:tblStyleRowBandSize w:val="1"/>
      <w:tblBorders>
        <w:top w:val="single" w:sz="12" w:space="0" w:color="8DACC6"/>
        <w:left w:val="single" w:sz="12" w:space="0" w:color="8DACC6"/>
        <w:bottom w:val="single" w:sz="12" w:space="0" w:color="8DACC6"/>
        <w:right w:val="single" w:sz="12" w:space="0" w:color="8DACC6"/>
        <w:insideH w:val="single" w:sz="12" w:space="0" w:color="8DACC6"/>
        <w:insideV w:val="single" w:sz="12" w:space="0" w:color="8DACC6"/>
      </w:tblBorders>
      <w:tblCellMar>
        <w:top w:w="113" w:type="dxa"/>
        <w:bottom w:w="113" w:type="dxa"/>
      </w:tblCellMar>
    </w:tblPr>
    <w:tcPr>
      <w:shd w:val="clear" w:color="auto" w:fill="E1E8F6" w:themeFill="background1"/>
      <w:vAlign w:val="center"/>
    </w:tcPr>
    <w:tblStylePr w:type="firstRow">
      <w:pPr>
        <w:jc w:val="center"/>
      </w:pPr>
      <w:rPr>
        <w:rFonts w:asciiTheme="minorHAnsi" w:hAnsiTheme="minorHAnsi"/>
        <w:b/>
        <w:color w:val="2F3A48"/>
        <w:sz w:val="24"/>
      </w:rPr>
      <w:tblPr/>
      <w:tcPr>
        <w:shd w:val="clear" w:color="auto" w:fill="BBCDDD"/>
      </w:tcPr>
    </w:tblStylePr>
    <w:tblStylePr w:type="lastRow">
      <w:rPr>
        <w:b/>
      </w:rPr>
    </w:tblStylePr>
    <w:tblStylePr w:type="band1Horz">
      <w:tblPr/>
      <w:tcPr>
        <w:shd w:val="clear" w:color="auto" w:fill="E3E9EF"/>
      </w:tcPr>
    </w:tblStylePr>
  </w:style>
  <w:style w:type="paragraph" w:customStyle="1" w:styleId="Bullets">
    <w:name w:val="Bullets"/>
    <w:basedOn w:val="Normal"/>
    <w:uiPriority w:val="2"/>
    <w:qFormat/>
    <w:rsid w:val="004E55CA"/>
    <w:pPr>
      <w:numPr>
        <w:numId w:val="9"/>
      </w:numPr>
      <w:suppressAutoHyphens/>
      <w:ind w:left="993" w:hanging="426"/>
    </w:pPr>
    <w:rPr>
      <w:szCs w:val="20"/>
    </w:rPr>
  </w:style>
  <w:style w:type="character" w:styleId="Hyperlink">
    <w:name w:val="Hyperlink"/>
    <w:basedOn w:val="DefaultParagraphFont"/>
    <w:uiPriority w:val="99"/>
    <w:unhideWhenUsed/>
    <w:rsid w:val="00E70264"/>
    <w:rPr>
      <w:color w:val="0070C0"/>
      <w:u w:val="single"/>
    </w:rPr>
  </w:style>
  <w:style w:type="numbering" w:customStyle="1" w:styleId="DefaultBullets">
    <w:name w:val="Default Bullets"/>
    <w:uiPriority w:val="99"/>
    <w:rsid w:val="00E70264"/>
    <w:pPr>
      <w:numPr>
        <w:numId w:val="3"/>
      </w:numPr>
    </w:pPr>
  </w:style>
  <w:style w:type="character" w:styleId="FollowedHyperlink">
    <w:name w:val="FollowedHyperlink"/>
    <w:basedOn w:val="DefaultParagraphFont"/>
    <w:uiPriority w:val="99"/>
    <w:semiHidden/>
    <w:unhideWhenUsed/>
    <w:rsid w:val="000D12F5"/>
    <w:rPr>
      <w:color w:val="954F72" w:themeColor="followedHyperlink"/>
      <w:u w:val="single"/>
    </w:rPr>
  </w:style>
  <w:style w:type="character" w:customStyle="1" w:styleId="Heading4Char">
    <w:name w:val="Heading 4 Char"/>
    <w:basedOn w:val="DefaultParagraphFont"/>
    <w:link w:val="Heading4"/>
    <w:uiPriority w:val="9"/>
    <w:rsid w:val="001E5E80"/>
    <w:rPr>
      <w:b/>
      <w:color w:val="2F3A48" w:themeColor="text2"/>
    </w:rPr>
  </w:style>
  <w:style w:type="paragraph" w:customStyle="1" w:styleId="IndentBullet1">
    <w:name w:val="Indent Bullet 1"/>
    <w:basedOn w:val="Normal"/>
    <w:uiPriority w:val="4"/>
    <w:qFormat/>
    <w:rsid w:val="002912A6"/>
    <w:pPr>
      <w:numPr>
        <w:numId w:val="4"/>
      </w:numPr>
      <w:suppressAutoHyphens/>
      <w:ind w:left="924" w:hanging="357"/>
    </w:pPr>
    <w:rPr>
      <w:rFonts w:asciiTheme="minorHAnsi" w:hAnsiTheme="minorHAnsi"/>
      <w:szCs w:val="20"/>
    </w:rPr>
  </w:style>
  <w:style w:type="paragraph" w:customStyle="1" w:styleId="IndentBullet2">
    <w:name w:val="Indent Bullet 2"/>
    <w:basedOn w:val="IndentBullet1"/>
    <w:uiPriority w:val="4"/>
    <w:rsid w:val="009D7A3C"/>
    <w:pPr>
      <w:numPr>
        <w:ilvl w:val="1"/>
      </w:numPr>
    </w:pPr>
  </w:style>
  <w:style w:type="paragraph" w:customStyle="1" w:styleId="IndentList1Alpha">
    <w:name w:val="Indent List 1 Alpha"/>
    <w:basedOn w:val="IndentBullet2"/>
    <w:uiPriority w:val="4"/>
    <w:rsid w:val="009D7A3C"/>
    <w:pPr>
      <w:numPr>
        <w:ilvl w:val="2"/>
      </w:numPr>
    </w:pPr>
  </w:style>
  <w:style w:type="character" w:customStyle="1" w:styleId="Heading7Char">
    <w:name w:val="Heading 7 Char"/>
    <w:basedOn w:val="DefaultParagraphFont"/>
    <w:link w:val="Heading7"/>
    <w:uiPriority w:val="9"/>
    <w:semiHidden/>
    <w:rsid w:val="001E5E80"/>
    <w:rPr>
      <w:rFonts w:asciiTheme="majorHAnsi" w:eastAsiaTheme="majorEastAsia" w:hAnsiTheme="majorHAnsi" w:cstheme="majorBidi"/>
      <w:i/>
      <w:iCs/>
      <w:color w:val="2F3A48" w:themeColor="text2"/>
    </w:rPr>
  </w:style>
  <w:style w:type="paragraph" w:customStyle="1" w:styleId="IndentList2Roman">
    <w:name w:val="Indent List 2 Roman"/>
    <w:basedOn w:val="IndentList1Alpha"/>
    <w:uiPriority w:val="4"/>
    <w:rsid w:val="00D46920"/>
    <w:pPr>
      <w:numPr>
        <w:ilvl w:val="3"/>
      </w:numPr>
    </w:pPr>
  </w:style>
  <w:style w:type="numbering" w:customStyle="1" w:styleId="IndentLists">
    <w:name w:val="Indent Lists"/>
    <w:uiPriority w:val="99"/>
    <w:rsid w:val="009D7A3C"/>
    <w:pPr>
      <w:numPr>
        <w:numId w:val="13"/>
      </w:numPr>
    </w:pPr>
  </w:style>
  <w:style w:type="character" w:styleId="EndnoteReference">
    <w:name w:val="endnote reference"/>
    <w:basedOn w:val="DefaultParagraphFont"/>
    <w:uiPriority w:val="99"/>
    <w:unhideWhenUsed/>
    <w:rsid w:val="009D7A3C"/>
    <w:rPr>
      <w:vertAlign w:val="superscript"/>
    </w:rPr>
  </w:style>
  <w:style w:type="paragraph" w:styleId="EndnoteText">
    <w:name w:val="endnote text"/>
    <w:basedOn w:val="Normal"/>
    <w:link w:val="EndnoteTextChar"/>
    <w:uiPriority w:val="99"/>
    <w:unhideWhenUsed/>
    <w:rsid w:val="00501569"/>
    <w:pPr>
      <w:spacing w:after="0" w:line="240" w:lineRule="auto"/>
    </w:pPr>
    <w:rPr>
      <w:szCs w:val="20"/>
    </w:rPr>
  </w:style>
  <w:style w:type="character" w:customStyle="1" w:styleId="EndnoteTextChar">
    <w:name w:val="Endnote Text Char"/>
    <w:basedOn w:val="DefaultParagraphFont"/>
    <w:link w:val="EndnoteText"/>
    <w:uiPriority w:val="99"/>
    <w:rsid w:val="00501569"/>
    <w:rPr>
      <w:rFonts w:ascii="Campaign Regular" w:hAnsi="Campaign Regular"/>
      <w:sz w:val="20"/>
      <w:szCs w:val="20"/>
    </w:rPr>
  </w:style>
  <w:style w:type="paragraph" w:styleId="FootnoteText">
    <w:name w:val="footnote text"/>
    <w:basedOn w:val="Normal"/>
    <w:link w:val="FootnoteTextChar"/>
    <w:autoRedefine/>
    <w:uiPriority w:val="99"/>
    <w:unhideWhenUsed/>
    <w:qFormat/>
    <w:rsid w:val="00353575"/>
    <w:pPr>
      <w:spacing w:before="0" w:after="0" w:line="160" w:lineRule="atLeast"/>
      <w:ind w:left="284" w:hanging="284"/>
    </w:pPr>
    <w:rPr>
      <w:color w:val="2F3A48"/>
      <w:kern w:val="2"/>
      <w:sz w:val="14"/>
      <w:szCs w:val="20"/>
      <w:lang w:val="en-GB"/>
      <w14:ligatures w14:val="standardContextual"/>
    </w:rPr>
  </w:style>
  <w:style w:type="character" w:customStyle="1" w:styleId="FootnoteTextChar">
    <w:name w:val="Footnote Text Char"/>
    <w:basedOn w:val="DefaultParagraphFont"/>
    <w:link w:val="FootnoteText"/>
    <w:uiPriority w:val="99"/>
    <w:rsid w:val="00353575"/>
    <w:rPr>
      <w:rFonts w:ascii="Work Sans" w:hAnsi="Work Sans"/>
      <w:color w:val="2F3A48"/>
      <w:kern w:val="2"/>
      <w:sz w:val="14"/>
      <w:szCs w:val="20"/>
      <w:lang w:val="en-GB"/>
      <w14:ligatures w14:val="standardContextual"/>
    </w:rPr>
  </w:style>
  <w:style w:type="character" w:styleId="FootnoteReference">
    <w:name w:val="footnote reference"/>
    <w:basedOn w:val="DefaultParagraphFont"/>
    <w:uiPriority w:val="99"/>
    <w:unhideWhenUsed/>
    <w:rsid w:val="00353575"/>
    <w:rPr>
      <w:rFonts w:ascii="Work Sans" w:hAnsi="Work Sans"/>
      <w:vertAlign w:val="superscript"/>
    </w:rPr>
  </w:style>
  <w:style w:type="numbering" w:customStyle="1" w:styleId="List1Numbered">
    <w:name w:val="List 1 Numbered"/>
    <w:uiPriority w:val="99"/>
    <w:rsid w:val="00501569"/>
    <w:pPr>
      <w:numPr>
        <w:numId w:val="5"/>
      </w:numPr>
    </w:pPr>
  </w:style>
  <w:style w:type="paragraph" w:customStyle="1" w:styleId="List1Numbered1">
    <w:name w:val="List 1 Numbered 1"/>
    <w:basedOn w:val="Normal"/>
    <w:uiPriority w:val="2"/>
    <w:qFormat/>
    <w:rsid w:val="00D77FB4"/>
    <w:pPr>
      <w:numPr>
        <w:numId w:val="6"/>
      </w:numPr>
      <w:suppressAutoHyphens/>
    </w:pPr>
    <w:rPr>
      <w:rFonts w:asciiTheme="minorHAnsi" w:hAnsiTheme="minorHAnsi"/>
      <w:szCs w:val="20"/>
    </w:rPr>
  </w:style>
  <w:style w:type="paragraph" w:customStyle="1" w:styleId="List1Numbered2">
    <w:name w:val="List 1 Numbered 2"/>
    <w:basedOn w:val="Normal"/>
    <w:uiPriority w:val="2"/>
    <w:rsid w:val="004276B2"/>
    <w:pPr>
      <w:numPr>
        <w:ilvl w:val="1"/>
        <w:numId w:val="6"/>
      </w:numPr>
      <w:suppressAutoHyphens/>
    </w:pPr>
    <w:rPr>
      <w:rFonts w:asciiTheme="minorHAnsi" w:hAnsiTheme="minorHAnsi"/>
      <w:szCs w:val="20"/>
    </w:rPr>
  </w:style>
  <w:style w:type="paragraph" w:customStyle="1" w:styleId="List1Numbered3">
    <w:name w:val="List 1 Numbered 3"/>
    <w:basedOn w:val="Normal"/>
    <w:uiPriority w:val="2"/>
    <w:rsid w:val="00D46920"/>
    <w:pPr>
      <w:numPr>
        <w:ilvl w:val="2"/>
        <w:numId w:val="6"/>
      </w:numPr>
      <w:suppressAutoHyphens/>
      <w:spacing w:line="260" w:lineRule="atLeast"/>
    </w:pPr>
    <w:rPr>
      <w:rFonts w:asciiTheme="minorHAnsi" w:hAnsiTheme="minorHAnsi"/>
      <w:szCs w:val="20"/>
    </w:rPr>
  </w:style>
  <w:style w:type="numbering" w:customStyle="1" w:styleId="TableNumbers">
    <w:name w:val="Table Numbers"/>
    <w:uiPriority w:val="99"/>
    <w:rsid w:val="001D1352"/>
    <w:pPr>
      <w:numPr>
        <w:numId w:val="7"/>
      </w:numPr>
    </w:pPr>
  </w:style>
  <w:style w:type="character" w:styleId="SubtleEmphasis">
    <w:name w:val="Subtle Emphasis"/>
    <w:basedOn w:val="DefaultParagraphFont"/>
    <w:uiPriority w:val="19"/>
    <w:rsid w:val="00A259BB"/>
    <w:rPr>
      <w:i/>
      <w:iCs/>
      <w:color w:val="1B598C" w:themeColor="text1"/>
    </w:rPr>
  </w:style>
  <w:style w:type="character" w:styleId="UnresolvedMention">
    <w:name w:val="Unresolved Mention"/>
    <w:basedOn w:val="DefaultParagraphFont"/>
    <w:uiPriority w:val="99"/>
    <w:semiHidden/>
    <w:unhideWhenUsed/>
    <w:rsid w:val="002F758C"/>
    <w:rPr>
      <w:color w:val="605E5C"/>
      <w:shd w:val="clear" w:color="auto" w:fill="E1DFDD"/>
    </w:rPr>
  </w:style>
  <w:style w:type="paragraph" w:styleId="TOCHeading">
    <w:name w:val="TOC Heading"/>
    <w:basedOn w:val="Heading1"/>
    <w:next w:val="Normal"/>
    <w:uiPriority w:val="39"/>
    <w:unhideWhenUsed/>
    <w:qFormat/>
    <w:rsid w:val="008826D9"/>
    <w:pPr>
      <w:spacing w:line="276" w:lineRule="auto"/>
      <w:outlineLvl w:val="9"/>
    </w:pPr>
    <w:rPr>
      <w:rFonts w:asciiTheme="majorHAnsi" w:hAnsiTheme="majorHAnsi"/>
      <w:lang w:val="en-US"/>
    </w:rPr>
  </w:style>
  <w:style w:type="paragraph" w:styleId="TOC1">
    <w:name w:val="toc 1"/>
    <w:basedOn w:val="Normal"/>
    <w:next w:val="Normal"/>
    <w:autoRedefine/>
    <w:uiPriority w:val="39"/>
    <w:unhideWhenUsed/>
    <w:rsid w:val="00016CA7"/>
    <w:pPr>
      <w:tabs>
        <w:tab w:val="right" w:pos="8931"/>
      </w:tabs>
      <w:contextualSpacing/>
    </w:pPr>
    <w:rPr>
      <w:rFonts w:ascii="Work Sans SemiBold" w:hAnsi="Work Sans SemiBold" w:cstheme="minorHAnsi"/>
      <w:noProof/>
      <w:color w:val="1B598C" w:themeColor="text1"/>
      <w:sz w:val="28"/>
      <w:szCs w:val="32"/>
    </w:rPr>
  </w:style>
  <w:style w:type="paragraph" w:styleId="TOC2">
    <w:name w:val="toc 2"/>
    <w:basedOn w:val="Normal"/>
    <w:next w:val="Normal"/>
    <w:uiPriority w:val="39"/>
    <w:unhideWhenUsed/>
    <w:rsid w:val="00227DC6"/>
    <w:pPr>
      <w:tabs>
        <w:tab w:val="right" w:pos="8931"/>
      </w:tabs>
      <w:spacing w:before="360"/>
      <w:contextualSpacing/>
    </w:pPr>
    <w:rPr>
      <w:rFonts w:cstheme="minorHAnsi"/>
      <w:noProof/>
      <w:szCs w:val="28"/>
    </w:rPr>
  </w:style>
  <w:style w:type="paragraph" w:styleId="TOC3">
    <w:name w:val="toc 3"/>
    <w:basedOn w:val="Normal"/>
    <w:next w:val="Normal"/>
    <w:autoRedefine/>
    <w:uiPriority w:val="39"/>
    <w:unhideWhenUsed/>
    <w:rsid w:val="001243F5"/>
    <w:pPr>
      <w:tabs>
        <w:tab w:val="right" w:pos="8931"/>
      </w:tabs>
      <w:contextualSpacing/>
    </w:pPr>
    <w:rPr>
      <w:rFonts w:cstheme="minorHAnsi"/>
      <w:iCs/>
      <w:noProof/>
      <w:szCs w:val="20"/>
    </w:rPr>
  </w:style>
  <w:style w:type="paragraph" w:styleId="TOC4">
    <w:name w:val="toc 4"/>
    <w:basedOn w:val="Normal"/>
    <w:next w:val="Normal"/>
    <w:autoRedefine/>
    <w:uiPriority w:val="39"/>
    <w:semiHidden/>
    <w:unhideWhenUsed/>
    <w:rsid w:val="005D2BCE"/>
    <w:pPr>
      <w:spacing w:after="0"/>
      <w:ind w:left="480"/>
    </w:pPr>
    <w:rPr>
      <w:rFonts w:asciiTheme="minorHAnsi" w:hAnsiTheme="minorHAnsi" w:cstheme="minorHAnsi"/>
      <w:szCs w:val="18"/>
    </w:rPr>
  </w:style>
  <w:style w:type="paragraph" w:styleId="TOC5">
    <w:name w:val="toc 5"/>
    <w:basedOn w:val="Normal"/>
    <w:next w:val="Normal"/>
    <w:autoRedefine/>
    <w:uiPriority w:val="39"/>
    <w:semiHidden/>
    <w:unhideWhenUsed/>
    <w:rsid w:val="005D2BCE"/>
    <w:pPr>
      <w:spacing w:after="0"/>
      <w:ind w:left="640"/>
    </w:pPr>
    <w:rPr>
      <w:rFonts w:asciiTheme="minorHAnsi" w:hAnsiTheme="minorHAnsi" w:cstheme="minorHAnsi"/>
      <w:szCs w:val="18"/>
    </w:rPr>
  </w:style>
  <w:style w:type="paragraph" w:styleId="TOC6">
    <w:name w:val="toc 6"/>
    <w:basedOn w:val="Normal"/>
    <w:next w:val="Normal"/>
    <w:autoRedefine/>
    <w:uiPriority w:val="39"/>
    <w:semiHidden/>
    <w:unhideWhenUsed/>
    <w:rsid w:val="005D2BCE"/>
    <w:pPr>
      <w:spacing w:after="0"/>
      <w:ind w:left="800"/>
    </w:pPr>
    <w:rPr>
      <w:rFonts w:asciiTheme="minorHAnsi" w:hAnsiTheme="minorHAnsi" w:cstheme="minorHAnsi"/>
      <w:szCs w:val="18"/>
    </w:rPr>
  </w:style>
  <w:style w:type="paragraph" w:styleId="TOC7">
    <w:name w:val="toc 7"/>
    <w:basedOn w:val="Normal"/>
    <w:next w:val="Normal"/>
    <w:autoRedefine/>
    <w:uiPriority w:val="39"/>
    <w:semiHidden/>
    <w:unhideWhenUsed/>
    <w:rsid w:val="005D2BCE"/>
    <w:pPr>
      <w:spacing w:after="0"/>
      <w:ind w:left="960"/>
    </w:pPr>
    <w:rPr>
      <w:rFonts w:asciiTheme="minorHAnsi" w:hAnsiTheme="minorHAnsi" w:cstheme="minorHAnsi"/>
      <w:szCs w:val="18"/>
    </w:rPr>
  </w:style>
  <w:style w:type="paragraph" w:styleId="TOC8">
    <w:name w:val="toc 8"/>
    <w:basedOn w:val="Normal"/>
    <w:next w:val="Normal"/>
    <w:autoRedefine/>
    <w:uiPriority w:val="39"/>
    <w:semiHidden/>
    <w:unhideWhenUsed/>
    <w:rsid w:val="005D2BCE"/>
    <w:pPr>
      <w:spacing w:after="0"/>
      <w:ind w:left="1120"/>
    </w:pPr>
    <w:rPr>
      <w:rFonts w:asciiTheme="minorHAnsi" w:hAnsiTheme="minorHAnsi" w:cstheme="minorHAnsi"/>
      <w:szCs w:val="18"/>
    </w:rPr>
  </w:style>
  <w:style w:type="paragraph" w:styleId="TOC9">
    <w:name w:val="toc 9"/>
    <w:basedOn w:val="Normal"/>
    <w:next w:val="Normal"/>
    <w:autoRedefine/>
    <w:uiPriority w:val="39"/>
    <w:semiHidden/>
    <w:unhideWhenUsed/>
    <w:rsid w:val="005D2BCE"/>
    <w:pPr>
      <w:spacing w:after="0"/>
      <w:ind w:left="1280"/>
    </w:pPr>
    <w:rPr>
      <w:rFonts w:asciiTheme="minorHAnsi" w:hAnsiTheme="minorHAnsi" w:cstheme="minorHAnsi"/>
      <w:szCs w:val="18"/>
    </w:rPr>
  </w:style>
  <w:style w:type="character" w:styleId="CommentReference">
    <w:name w:val="annotation reference"/>
    <w:basedOn w:val="DefaultParagraphFont"/>
    <w:uiPriority w:val="99"/>
    <w:semiHidden/>
    <w:unhideWhenUsed/>
    <w:rsid w:val="007F6115"/>
    <w:rPr>
      <w:sz w:val="16"/>
      <w:szCs w:val="16"/>
    </w:rPr>
  </w:style>
  <w:style w:type="paragraph" w:styleId="CommentText">
    <w:name w:val="annotation text"/>
    <w:basedOn w:val="Normal"/>
    <w:link w:val="CommentTextChar"/>
    <w:uiPriority w:val="99"/>
    <w:unhideWhenUsed/>
    <w:rsid w:val="007F6115"/>
    <w:pPr>
      <w:spacing w:line="240" w:lineRule="auto"/>
    </w:pPr>
    <w:rPr>
      <w:szCs w:val="20"/>
    </w:rPr>
  </w:style>
  <w:style w:type="character" w:customStyle="1" w:styleId="CommentTextChar">
    <w:name w:val="Comment Text Char"/>
    <w:basedOn w:val="DefaultParagraphFont"/>
    <w:link w:val="CommentText"/>
    <w:uiPriority w:val="99"/>
    <w:rsid w:val="007F611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F6115"/>
    <w:rPr>
      <w:b/>
      <w:bCs/>
    </w:rPr>
  </w:style>
  <w:style w:type="character" w:customStyle="1" w:styleId="CommentSubjectChar">
    <w:name w:val="Comment Subject Char"/>
    <w:basedOn w:val="CommentTextChar"/>
    <w:link w:val="CommentSubject"/>
    <w:uiPriority w:val="99"/>
    <w:semiHidden/>
    <w:rsid w:val="007F6115"/>
    <w:rPr>
      <w:rFonts w:ascii="Verdana" w:hAnsi="Verdana"/>
      <w:b/>
      <w:bCs/>
      <w:sz w:val="20"/>
      <w:szCs w:val="20"/>
    </w:rPr>
  </w:style>
  <w:style w:type="numbering" w:customStyle="1" w:styleId="FigureNumbers">
    <w:name w:val="Figure Numbers"/>
    <w:uiPriority w:val="99"/>
    <w:rsid w:val="00FD4A71"/>
    <w:pPr>
      <w:numPr>
        <w:numId w:val="8"/>
      </w:numPr>
    </w:pPr>
  </w:style>
  <w:style w:type="paragraph" w:styleId="Subtitle">
    <w:name w:val="Subtitle"/>
    <w:basedOn w:val="Normal"/>
    <w:next w:val="Normal"/>
    <w:link w:val="SubtitleChar"/>
    <w:uiPriority w:val="11"/>
    <w:rsid w:val="00A259BB"/>
    <w:pPr>
      <w:numPr>
        <w:ilvl w:val="1"/>
      </w:numPr>
    </w:pPr>
    <w:rPr>
      <w:rFonts w:asciiTheme="minorHAnsi" w:eastAsiaTheme="minorEastAsia" w:hAnsiTheme="minorHAnsi"/>
      <w:spacing w:val="15"/>
      <w:sz w:val="22"/>
      <w:szCs w:val="22"/>
    </w:rPr>
  </w:style>
  <w:style w:type="paragraph" w:styleId="BalloonText">
    <w:name w:val="Balloon Text"/>
    <w:basedOn w:val="Normal"/>
    <w:link w:val="BalloonTextChar"/>
    <w:uiPriority w:val="99"/>
    <w:semiHidden/>
    <w:unhideWhenUsed/>
    <w:rsid w:val="00674FD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FDE"/>
    <w:rPr>
      <w:rFonts w:ascii="Segoe UI" w:hAnsi="Segoe UI" w:cs="Segoe UI"/>
      <w:sz w:val="18"/>
      <w:szCs w:val="18"/>
    </w:rPr>
  </w:style>
  <w:style w:type="character" w:customStyle="1" w:styleId="Heading5Char">
    <w:name w:val="Heading 5 Char"/>
    <w:basedOn w:val="DefaultParagraphFont"/>
    <w:link w:val="Heading5"/>
    <w:uiPriority w:val="9"/>
    <w:rsid w:val="003A5708"/>
    <w:rPr>
      <w:b/>
      <w:color w:val="2F3A48" w:themeColor="text2"/>
      <w:lang w:val="en-GB"/>
    </w:rPr>
  </w:style>
  <w:style w:type="character" w:customStyle="1" w:styleId="Heading6Char">
    <w:name w:val="Heading 6 Char"/>
    <w:basedOn w:val="DefaultParagraphFont"/>
    <w:link w:val="Heading6"/>
    <w:uiPriority w:val="9"/>
    <w:rsid w:val="001E5E80"/>
    <w:rPr>
      <w:rFonts w:asciiTheme="majorHAnsi" w:eastAsiaTheme="majorEastAsia" w:hAnsiTheme="majorHAnsi" w:cstheme="majorBidi"/>
      <w:color w:val="2F3A48" w:themeColor="text2"/>
    </w:rPr>
  </w:style>
  <w:style w:type="paragraph" w:styleId="Revision">
    <w:name w:val="Revision"/>
    <w:hidden/>
    <w:uiPriority w:val="99"/>
    <w:semiHidden/>
    <w:rsid w:val="00034C98"/>
    <w:rPr>
      <w:rFonts w:ascii="Verdana" w:hAnsi="Verdana"/>
    </w:rPr>
  </w:style>
  <w:style w:type="character" w:customStyle="1" w:styleId="SubtitleChar">
    <w:name w:val="Subtitle Char"/>
    <w:basedOn w:val="DefaultParagraphFont"/>
    <w:link w:val="Subtitle"/>
    <w:uiPriority w:val="11"/>
    <w:rsid w:val="00A259BB"/>
    <w:rPr>
      <w:rFonts w:eastAsiaTheme="minorEastAsia"/>
      <w:spacing w:val="15"/>
      <w:sz w:val="22"/>
      <w:szCs w:val="22"/>
    </w:rPr>
  </w:style>
  <w:style w:type="paragraph" w:styleId="Quote">
    <w:name w:val="Quote"/>
    <w:basedOn w:val="Normal"/>
    <w:next w:val="Normal"/>
    <w:link w:val="QuoteChar"/>
    <w:uiPriority w:val="29"/>
    <w:qFormat/>
    <w:rsid w:val="00A32F4C"/>
    <w:pPr>
      <w:spacing w:before="200"/>
      <w:ind w:left="864" w:right="864"/>
      <w:jc w:val="center"/>
    </w:pPr>
    <w:rPr>
      <w:i/>
      <w:iCs/>
      <w:color w:val="19B1C3" w:themeColor="accent2"/>
    </w:rPr>
  </w:style>
  <w:style w:type="character" w:customStyle="1" w:styleId="QuoteChar">
    <w:name w:val="Quote Char"/>
    <w:basedOn w:val="DefaultParagraphFont"/>
    <w:link w:val="Quote"/>
    <w:uiPriority w:val="29"/>
    <w:rsid w:val="00A32F4C"/>
    <w:rPr>
      <w:rFonts w:ascii="Verdana" w:hAnsi="Verdana"/>
      <w:i/>
      <w:iCs/>
      <w:color w:val="19B1C3" w:themeColor="accent2"/>
    </w:rPr>
  </w:style>
  <w:style w:type="paragraph" w:styleId="NoSpacing">
    <w:name w:val="No Spacing"/>
    <w:uiPriority w:val="1"/>
    <w:rsid w:val="00015D89"/>
    <w:rPr>
      <w:rFonts w:ascii="Verdana" w:hAnsi="Verdana"/>
    </w:rPr>
  </w:style>
  <w:style w:type="paragraph" w:customStyle="1" w:styleId="Heading1Numbered">
    <w:name w:val="Heading 1 Numbered"/>
    <w:basedOn w:val="Heading1"/>
    <w:uiPriority w:val="10"/>
    <w:qFormat/>
    <w:rsid w:val="00372F91"/>
    <w:pPr>
      <w:keepLines/>
      <w:numPr>
        <w:numId w:val="11"/>
      </w:numPr>
      <w:suppressAutoHyphens/>
      <w:spacing w:before="480" w:after="300" w:line="480" w:lineRule="atLeast"/>
      <w:contextualSpacing/>
    </w:pPr>
    <w:rPr>
      <w:rFonts w:eastAsiaTheme="majorEastAsia" w:cstheme="majorBidi"/>
      <w:bCs w:val="0"/>
      <w:szCs w:val="32"/>
    </w:rPr>
  </w:style>
  <w:style w:type="paragraph" w:customStyle="1" w:styleId="Heading2Numbered">
    <w:name w:val="Heading 2 Numbered"/>
    <w:basedOn w:val="Heading2"/>
    <w:uiPriority w:val="10"/>
    <w:qFormat/>
    <w:rsid w:val="00372F91"/>
    <w:pPr>
      <w:numPr>
        <w:ilvl w:val="1"/>
        <w:numId w:val="11"/>
      </w:numPr>
      <w:suppressAutoHyphens/>
      <w:autoSpaceDE/>
      <w:autoSpaceDN/>
      <w:adjustRightInd/>
      <w:spacing w:beforeLines="0" w:before="360" w:afterLines="0" w:after="120" w:line="320" w:lineRule="atLeast"/>
      <w:contextualSpacing/>
    </w:pPr>
    <w:rPr>
      <w:rFonts w:eastAsiaTheme="majorEastAsia" w:cstheme="majorBidi"/>
      <w:bCs w:val="0"/>
      <w:szCs w:val="26"/>
    </w:rPr>
  </w:style>
  <w:style w:type="paragraph" w:customStyle="1" w:styleId="Heading3Numbered">
    <w:name w:val="Heading 3 Numbered"/>
    <w:basedOn w:val="Heading3"/>
    <w:uiPriority w:val="10"/>
    <w:qFormat/>
    <w:rsid w:val="00372F91"/>
    <w:pPr>
      <w:numPr>
        <w:ilvl w:val="2"/>
        <w:numId w:val="11"/>
      </w:numPr>
      <w:suppressAutoHyphens/>
      <w:autoSpaceDE/>
      <w:autoSpaceDN/>
      <w:adjustRightInd/>
      <w:spacing w:beforeLines="0" w:before="240" w:afterLines="0" w:after="120" w:line="260" w:lineRule="atLeast"/>
      <w:ind w:left="1800"/>
    </w:pPr>
    <w:rPr>
      <w:rFonts w:eastAsiaTheme="majorEastAsia" w:cstheme="majorBidi"/>
      <w:szCs w:val="24"/>
    </w:rPr>
  </w:style>
  <w:style w:type="paragraph" w:customStyle="1" w:styleId="FootnoteTextStyle">
    <w:name w:val="Footnote Text Style"/>
    <w:basedOn w:val="FootnoteText"/>
    <w:qFormat/>
    <w:rsid w:val="00154B80"/>
    <w:pPr>
      <w:suppressAutoHyphens/>
    </w:pPr>
    <w:rPr>
      <w:rFonts w:asciiTheme="minorHAnsi" w:hAnsiTheme="minorHAnsi"/>
      <w:szCs w:val="24"/>
    </w:rPr>
  </w:style>
  <w:style w:type="paragraph" w:customStyle="1" w:styleId="Default">
    <w:name w:val="Default"/>
    <w:rsid w:val="001A67E8"/>
    <w:pPr>
      <w:autoSpaceDE w:val="0"/>
      <w:autoSpaceDN w:val="0"/>
      <w:adjustRightInd w:val="0"/>
    </w:pPr>
    <w:rPr>
      <w:rFonts w:cs="Work Sans"/>
      <w:color w:val="000000"/>
    </w:rPr>
  </w:style>
  <w:style w:type="paragraph" w:customStyle="1" w:styleId="Pa3">
    <w:name w:val="Pa3"/>
    <w:basedOn w:val="Default"/>
    <w:next w:val="Default"/>
    <w:uiPriority w:val="99"/>
    <w:rsid w:val="001A67E8"/>
    <w:pPr>
      <w:spacing w:line="201" w:lineRule="atLeast"/>
    </w:pPr>
    <w:rPr>
      <w:rFonts w:cstheme="minorBidi"/>
      <w:color w:val="auto"/>
    </w:rPr>
  </w:style>
  <w:style w:type="character" w:customStyle="1" w:styleId="A4">
    <w:name w:val="A4"/>
    <w:uiPriority w:val="99"/>
    <w:rsid w:val="001A67E8"/>
    <w:rPr>
      <w:rFonts w:cs="Work Sans"/>
      <w:color w:val="255B9D"/>
      <w:sz w:val="20"/>
      <w:szCs w:val="20"/>
      <w:u w:val="single"/>
    </w:rPr>
  </w:style>
  <w:style w:type="paragraph" w:customStyle="1" w:styleId="Pa2">
    <w:name w:val="Pa2"/>
    <w:basedOn w:val="Default"/>
    <w:next w:val="Default"/>
    <w:uiPriority w:val="99"/>
    <w:rsid w:val="001A67E8"/>
    <w:pPr>
      <w:spacing w:line="221" w:lineRule="atLeast"/>
    </w:pPr>
    <w:rPr>
      <w:rFonts w:cstheme="minorBidi"/>
      <w:color w:val="auto"/>
    </w:rPr>
  </w:style>
  <w:style w:type="paragraph" w:customStyle="1" w:styleId="Bullet1">
    <w:name w:val="Bullet 1"/>
    <w:basedOn w:val="Normal"/>
    <w:uiPriority w:val="2"/>
    <w:qFormat/>
    <w:rsid w:val="00671E4B"/>
    <w:pPr>
      <w:numPr>
        <w:numId w:val="12"/>
      </w:numPr>
      <w:suppressAutoHyphens/>
    </w:pPr>
    <w:rPr>
      <w:rFonts w:asciiTheme="minorHAnsi" w:hAnsiTheme="minorHAnsi"/>
      <w:szCs w:val="20"/>
    </w:rPr>
  </w:style>
  <w:style w:type="paragraph" w:customStyle="1" w:styleId="Bullet2">
    <w:name w:val="Bullet 2"/>
    <w:basedOn w:val="Normal"/>
    <w:uiPriority w:val="2"/>
    <w:rsid w:val="00281F94"/>
    <w:pPr>
      <w:numPr>
        <w:numId w:val="21"/>
      </w:numPr>
      <w:suppressAutoHyphens/>
      <w:ind w:left="1134" w:hanging="567"/>
    </w:pPr>
    <w:rPr>
      <w:rFonts w:asciiTheme="minorHAnsi" w:hAnsiTheme="minorHAnsi"/>
      <w:szCs w:val="20"/>
    </w:rPr>
  </w:style>
  <w:style w:type="paragraph" w:customStyle="1" w:styleId="Bullet3">
    <w:name w:val="Bullet 3"/>
    <w:basedOn w:val="Normal"/>
    <w:uiPriority w:val="2"/>
    <w:rsid w:val="00154B80"/>
    <w:pPr>
      <w:numPr>
        <w:ilvl w:val="2"/>
        <w:numId w:val="12"/>
      </w:numPr>
      <w:suppressAutoHyphens/>
    </w:pPr>
    <w:rPr>
      <w:rFonts w:asciiTheme="minorHAnsi" w:hAnsiTheme="minorHAnsi"/>
      <w:sz w:val="20"/>
      <w:szCs w:val="20"/>
    </w:rPr>
  </w:style>
  <w:style w:type="character" w:customStyle="1" w:styleId="ListParagraphChar">
    <w:name w:val="List Paragraph Char"/>
    <w:basedOn w:val="DefaultParagraphFont"/>
    <w:link w:val="ListParagraph"/>
    <w:uiPriority w:val="34"/>
    <w:locked/>
    <w:rsid w:val="00F30B00"/>
    <w:rPr>
      <w:rFonts w:ascii="Work Sans" w:hAnsi="Work Sans"/>
      <w:color w:val="2F3A48" w:themeColor="text2"/>
    </w:rPr>
  </w:style>
  <w:style w:type="table" w:styleId="ListTable3-Accent2">
    <w:name w:val="List Table 3 Accent 2"/>
    <w:basedOn w:val="TableNormal"/>
    <w:uiPriority w:val="48"/>
    <w:rsid w:val="00F30B00"/>
    <w:rPr>
      <w:rFonts w:eastAsiaTheme="minorEastAsia"/>
    </w:rPr>
    <w:tblPr>
      <w:tblStyleRowBandSize w:val="1"/>
      <w:tblStyleColBandSize w:val="1"/>
      <w:tblBorders>
        <w:top w:val="single" w:sz="4" w:space="0" w:color="19B1C3" w:themeColor="accent2"/>
        <w:left w:val="single" w:sz="4" w:space="0" w:color="19B1C3" w:themeColor="accent2"/>
        <w:bottom w:val="single" w:sz="4" w:space="0" w:color="19B1C3" w:themeColor="accent2"/>
        <w:right w:val="single" w:sz="4" w:space="0" w:color="19B1C3" w:themeColor="accent2"/>
      </w:tblBorders>
    </w:tblPr>
    <w:tblStylePr w:type="firstRow">
      <w:rPr>
        <w:b/>
        <w:bCs/>
        <w:color w:val="E1E8F6" w:themeColor="background1"/>
      </w:rPr>
      <w:tblPr/>
      <w:tcPr>
        <w:shd w:val="clear" w:color="auto" w:fill="19B1C3" w:themeFill="accent2"/>
      </w:tcPr>
    </w:tblStylePr>
    <w:tblStylePr w:type="lastRow">
      <w:rPr>
        <w:b/>
        <w:bCs/>
      </w:rPr>
      <w:tblPr/>
      <w:tcPr>
        <w:tcBorders>
          <w:top w:val="double" w:sz="4" w:space="0" w:color="19B1C3" w:themeColor="accent2"/>
        </w:tcBorders>
        <w:shd w:val="clear" w:color="auto" w:fill="E1E8F6" w:themeFill="background1"/>
      </w:tcPr>
    </w:tblStylePr>
    <w:tblStylePr w:type="firstCol">
      <w:rPr>
        <w:b/>
        <w:bCs/>
      </w:rPr>
      <w:tblPr/>
      <w:tcPr>
        <w:tcBorders>
          <w:right w:val="nil"/>
        </w:tcBorders>
        <w:shd w:val="clear" w:color="auto" w:fill="E1E8F6" w:themeFill="background1"/>
      </w:tcPr>
    </w:tblStylePr>
    <w:tblStylePr w:type="lastCol">
      <w:rPr>
        <w:b/>
        <w:bCs/>
      </w:rPr>
      <w:tblPr/>
      <w:tcPr>
        <w:tcBorders>
          <w:left w:val="nil"/>
        </w:tcBorders>
        <w:shd w:val="clear" w:color="auto" w:fill="E1E8F6" w:themeFill="background1"/>
      </w:tcPr>
    </w:tblStylePr>
    <w:tblStylePr w:type="band1Vert">
      <w:tblPr/>
      <w:tcPr>
        <w:tcBorders>
          <w:left w:val="single" w:sz="4" w:space="0" w:color="19B1C3" w:themeColor="accent2"/>
          <w:right w:val="single" w:sz="4" w:space="0" w:color="19B1C3" w:themeColor="accent2"/>
        </w:tcBorders>
      </w:tcPr>
    </w:tblStylePr>
    <w:tblStylePr w:type="band1Horz">
      <w:tblPr/>
      <w:tcPr>
        <w:tcBorders>
          <w:top w:val="single" w:sz="4" w:space="0" w:color="19B1C3" w:themeColor="accent2"/>
          <w:bottom w:val="single" w:sz="4" w:space="0" w:color="19B1C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B1C3" w:themeColor="accent2"/>
          <w:left w:val="nil"/>
        </w:tcBorders>
      </w:tcPr>
    </w:tblStylePr>
    <w:tblStylePr w:type="swCell">
      <w:tblPr/>
      <w:tcPr>
        <w:tcBorders>
          <w:top w:val="double" w:sz="4" w:space="0" w:color="19B1C3" w:themeColor="accent2"/>
          <w:right w:val="nil"/>
        </w:tcBorders>
      </w:tcPr>
    </w:tblStylePr>
  </w:style>
  <w:style w:type="paragraph" w:customStyle="1" w:styleId="BodyCopy">
    <w:name w:val="Body Copy"/>
    <w:basedOn w:val="Normal"/>
    <w:uiPriority w:val="99"/>
    <w:rsid w:val="005828F5"/>
    <w:pPr>
      <w:suppressAutoHyphens/>
      <w:autoSpaceDE w:val="0"/>
      <w:autoSpaceDN w:val="0"/>
      <w:adjustRightInd w:val="0"/>
      <w:spacing w:before="113" w:after="0" w:line="348" w:lineRule="auto"/>
      <w:textAlignment w:val="center"/>
    </w:pPr>
    <w:rPr>
      <w:rFonts w:ascii="WorkSans-Light" w:hAnsi="WorkSans-Light" w:cs="WorkSans-Light"/>
      <w:color w:val="2F3A48"/>
      <w:sz w:val="20"/>
      <w:szCs w:val="20"/>
      <w:lang w:val="en-GB"/>
      <w14:ligatures w14:val="standardContextual"/>
    </w:rPr>
  </w:style>
  <w:style w:type="paragraph" w:customStyle="1" w:styleId="H1">
    <w:name w:val="H1"/>
    <w:basedOn w:val="BodyCopy"/>
    <w:next w:val="H2"/>
    <w:uiPriority w:val="99"/>
    <w:rsid w:val="005828F5"/>
    <w:pPr>
      <w:spacing w:before="0" w:after="850" w:line="300" w:lineRule="auto"/>
    </w:pPr>
    <w:rPr>
      <w:rFonts w:ascii="WorkSans-Medium" w:hAnsi="WorkSans-Medium" w:cs="WorkSans-Medium"/>
      <w:sz w:val="36"/>
      <w:szCs w:val="36"/>
    </w:rPr>
  </w:style>
  <w:style w:type="paragraph" w:customStyle="1" w:styleId="Introsection">
    <w:name w:val="Intro section"/>
    <w:basedOn w:val="H1"/>
    <w:uiPriority w:val="99"/>
    <w:rsid w:val="005828F5"/>
    <w:pPr>
      <w:spacing w:after="283"/>
    </w:pPr>
    <w:rPr>
      <w:color w:val="1B598C"/>
      <w:sz w:val="32"/>
      <w:szCs w:val="32"/>
    </w:rPr>
  </w:style>
  <w:style w:type="paragraph" w:customStyle="1" w:styleId="Bulletlist">
    <w:name w:val="Bullet list"/>
    <w:basedOn w:val="BodyCopy"/>
    <w:uiPriority w:val="99"/>
    <w:rsid w:val="005828F5"/>
    <w:pPr>
      <w:ind w:left="283" w:hanging="283"/>
    </w:pPr>
  </w:style>
  <w:style w:type="paragraph" w:customStyle="1" w:styleId="bulletlistlessspsace">
    <w:name w:val="bullet list (less spsace)"/>
    <w:basedOn w:val="Bulletlist"/>
    <w:uiPriority w:val="99"/>
    <w:rsid w:val="005828F5"/>
  </w:style>
  <w:style w:type="paragraph" w:customStyle="1" w:styleId="BodyCopyspan">
    <w:name w:val="Body Copy (span)"/>
    <w:basedOn w:val="Normal"/>
    <w:uiPriority w:val="99"/>
    <w:rsid w:val="005828F5"/>
    <w:pPr>
      <w:suppressAutoHyphens/>
      <w:autoSpaceDE w:val="0"/>
      <w:autoSpaceDN w:val="0"/>
      <w:adjustRightInd w:val="0"/>
      <w:spacing w:before="113" w:after="0" w:line="348" w:lineRule="auto"/>
      <w:textAlignment w:val="center"/>
    </w:pPr>
    <w:rPr>
      <w:rFonts w:ascii="WorkSans-Light" w:hAnsi="WorkSans-Light" w:cs="WorkSans-Light"/>
      <w:color w:val="2F3A48"/>
      <w:sz w:val="20"/>
      <w:szCs w:val="20"/>
      <w:lang w:val="en-GB"/>
      <w14:ligatures w14:val="standardContextual"/>
    </w:rPr>
  </w:style>
  <w:style w:type="paragraph" w:customStyle="1" w:styleId="boxnumberlistFeaturebox-SpanT-Blue30">
    <w:name w:val="box number list (Feature box - Span (T-Blue 30%))"/>
    <w:basedOn w:val="BodyCopy"/>
    <w:uiPriority w:val="99"/>
    <w:rsid w:val="005828F5"/>
    <w:pPr>
      <w:shd w:val="clear" w:color="auto" w:fill="2274B5"/>
      <w:tabs>
        <w:tab w:val="left" w:pos="57"/>
        <w:tab w:val="left" w:pos="680"/>
      </w:tabs>
      <w:spacing w:before="454"/>
      <w:ind w:left="567" w:right="170" w:hanging="283"/>
    </w:pPr>
    <w:rPr>
      <w:sz w:val="22"/>
      <w:szCs w:val="22"/>
    </w:rPr>
  </w:style>
  <w:style w:type="paragraph" w:customStyle="1" w:styleId="H2">
    <w:name w:val="H2"/>
    <w:basedOn w:val="BodyCopy"/>
    <w:uiPriority w:val="99"/>
    <w:rsid w:val="005828F5"/>
    <w:pPr>
      <w:keepNext/>
      <w:spacing w:before="227" w:line="300" w:lineRule="auto"/>
    </w:pPr>
    <w:rPr>
      <w:rFonts w:ascii="WorkSans-SemiBold" w:hAnsi="WorkSans-SemiBold" w:cs="WorkSans-SemiBold"/>
      <w:b/>
      <w:bCs/>
      <w:color w:val="1B598C"/>
      <w:sz w:val="24"/>
      <w:szCs w:val="24"/>
    </w:rPr>
  </w:style>
  <w:style w:type="paragraph" w:customStyle="1" w:styleId="H3">
    <w:name w:val="H3"/>
    <w:basedOn w:val="BodyCopy"/>
    <w:uiPriority w:val="99"/>
    <w:rsid w:val="005828F5"/>
    <w:pPr>
      <w:keepNext/>
      <w:spacing w:before="283"/>
    </w:pPr>
    <w:rPr>
      <w:rFonts w:ascii="WorkSans-Bold" w:hAnsi="WorkSans-Bold" w:cs="WorkSans-Bold"/>
      <w:b/>
      <w:bCs/>
      <w:sz w:val="22"/>
      <w:szCs w:val="22"/>
    </w:rPr>
  </w:style>
  <w:style w:type="paragraph" w:customStyle="1" w:styleId="FigureHeading">
    <w:name w:val="Figure Heading"/>
    <w:basedOn w:val="BodyCopy"/>
    <w:uiPriority w:val="99"/>
    <w:rsid w:val="005828F5"/>
    <w:pPr>
      <w:keepNext/>
      <w:spacing w:before="170" w:after="113"/>
    </w:pPr>
    <w:rPr>
      <w:rFonts w:ascii="WorkSans-Regular" w:hAnsi="WorkSans-Regular" w:cs="WorkSans-Regular"/>
    </w:rPr>
  </w:style>
  <w:style w:type="paragraph" w:customStyle="1" w:styleId="Numberedlist">
    <w:name w:val="Numbered list"/>
    <w:basedOn w:val="Normal"/>
    <w:uiPriority w:val="99"/>
    <w:rsid w:val="005828F5"/>
    <w:pPr>
      <w:suppressAutoHyphens/>
      <w:autoSpaceDE w:val="0"/>
      <w:autoSpaceDN w:val="0"/>
      <w:adjustRightInd w:val="0"/>
      <w:spacing w:before="113" w:after="0" w:line="348" w:lineRule="auto"/>
      <w:ind w:left="283" w:hanging="283"/>
      <w:textAlignment w:val="center"/>
    </w:pPr>
    <w:rPr>
      <w:rFonts w:ascii="WorkSans-Light" w:hAnsi="WorkSans-Light" w:cs="WorkSans-Light"/>
      <w:color w:val="2F3A48"/>
      <w:sz w:val="20"/>
      <w:szCs w:val="20"/>
      <w:lang w:val="en-GB"/>
      <w14:ligatures w14:val="standardContextual"/>
    </w:rPr>
  </w:style>
  <w:style w:type="paragraph" w:customStyle="1" w:styleId="H4">
    <w:name w:val="H4"/>
    <w:basedOn w:val="H3"/>
    <w:uiPriority w:val="99"/>
    <w:rsid w:val="005828F5"/>
    <w:pPr>
      <w:spacing w:before="113"/>
    </w:pPr>
    <w:rPr>
      <w:rFonts w:ascii="WorkSans-Medium" w:hAnsi="WorkSans-Medium" w:cs="WorkSans-Medium"/>
      <w:sz w:val="20"/>
      <w:szCs w:val="20"/>
    </w:rPr>
  </w:style>
  <w:style w:type="paragraph" w:customStyle="1" w:styleId="FigureCaption">
    <w:name w:val="Figure Caption"/>
    <w:basedOn w:val="FigureHeading"/>
    <w:uiPriority w:val="99"/>
    <w:rsid w:val="005828F5"/>
    <w:pPr>
      <w:shd w:val="clear" w:color="auto" w:fill="1B598C"/>
      <w:spacing w:before="283" w:after="170"/>
      <w:ind w:left="170" w:right="170"/>
    </w:pPr>
  </w:style>
  <w:style w:type="paragraph" w:customStyle="1" w:styleId="boxheadingFeaturebox-1columnTeal20">
    <w:name w:val="box heading (Feature box - 1 column (Teal 20%))"/>
    <w:basedOn w:val="Normal"/>
    <w:uiPriority w:val="99"/>
    <w:rsid w:val="005828F5"/>
    <w:pPr>
      <w:shd w:val="clear" w:color="auto" w:fill="19B1C3"/>
      <w:suppressAutoHyphens/>
      <w:autoSpaceDE w:val="0"/>
      <w:autoSpaceDN w:val="0"/>
      <w:adjustRightInd w:val="0"/>
      <w:spacing w:before="283" w:after="0" w:line="348" w:lineRule="auto"/>
      <w:ind w:left="170" w:right="170"/>
      <w:textAlignment w:val="center"/>
    </w:pPr>
    <w:rPr>
      <w:rFonts w:ascii="WorkSans-SemiBold" w:hAnsi="WorkSans-SemiBold" w:cs="WorkSans-SemiBold"/>
      <w:b/>
      <w:bCs/>
      <w:color w:val="2F3A48"/>
      <w:sz w:val="22"/>
      <w:szCs w:val="22"/>
      <w:lang w:val="en-GB"/>
      <w14:ligatures w14:val="standardContextual"/>
    </w:rPr>
  </w:style>
  <w:style w:type="paragraph" w:customStyle="1" w:styleId="boxsubheadFeaturebox-1columnTeal20">
    <w:name w:val="box subhead (Feature box - 1 column (Teal 20%))"/>
    <w:basedOn w:val="Normal"/>
    <w:uiPriority w:val="99"/>
    <w:rsid w:val="005828F5"/>
    <w:pPr>
      <w:shd w:val="clear" w:color="auto" w:fill="19B1C3"/>
      <w:suppressAutoHyphens/>
      <w:autoSpaceDE w:val="0"/>
      <w:autoSpaceDN w:val="0"/>
      <w:adjustRightInd w:val="0"/>
      <w:spacing w:before="57" w:after="0" w:line="348" w:lineRule="auto"/>
      <w:ind w:left="170" w:right="170"/>
      <w:textAlignment w:val="center"/>
    </w:pPr>
    <w:rPr>
      <w:rFonts w:ascii="WorkSans-Medium" w:hAnsi="WorkSans-Medium" w:cs="WorkSans-Medium"/>
      <w:color w:val="2F3A48"/>
      <w:sz w:val="20"/>
      <w:szCs w:val="20"/>
      <w:lang w:val="en-GB"/>
      <w14:ligatures w14:val="standardContextual"/>
    </w:rPr>
  </w:style>
  <w:style w:type="paragraph" w:customStyle="1" w:styleId="boxcopyFeaturebox-1columnTeal20">
    <w:name w:val="box copy (Feature box - 1 column (Teal 20%))"/>
    <w:basedOn w:val="Normal"/>
    <w:uiPriority w:val="99"/>
    <w:rsid w:val="005828F5"/>
    <w:pPr>
      <w:shd w:val="clear" w:color="auto" w:fill="19B1C3"/>
      <w:suppressAutoHyphens/>
      <w:autoSpaceDE w:val="0"/>
      <w:autoSpaceDN w:val="0"/>
      <w:adjustRightInd w:val="0"/>
      <w:spacing w:before="57" w:after="57" w:line="348" w:lineRule="auto"/>
      <w:ind w:left="170" w:right="170"/>
      <w:textAlignment w:val="center"/>
    </w:pPr>
    <w:rPr>
      <w:rFonts w:ascii="WorkSans-Light" w:hAnsi="WorkSans-Light" w:cs="WorkSans-Light"/>
      <w:color w:val="2F3A48"/>
      <w:sz w:val="20"/>
      <w:szCs w:val="20"/>
      <w:lang w:val="en-GB"/>
      <w14:ligatures w14:val="standardContextual"/>
    </w:rPr>
  </w:style>
  <w:style w:type="paragraph" w:customStyle="1" w:styleId="boxsubheadFeaturebox-1columnT-Blue30">
    <w:name w:val="box subhead (Feature box - 1 column (T-Blue 30%))"/>
    <w:basedOn w:val="boxsubheadFeaturebox-1columnTeal20"/>
    <w:uiPriority w:val="99"/>
    <w:rsid w:val="005828F5"/>
    <w:pPr>
      <w:shd w:val="clear" w:color="auto" w:fill="1B598C"/>
    </w:pPr>
  </w:style>
  <w:style w:type="paragraph" w:customStyle="1" w:styleId="boxcopyFeaturebox-1columnT-Blue30">
    <w:name w:val="box copy (Feature box - 1 column (T-Blue 30%))"/>
    <w:basedOn w:val="boxcopyFeaturebox-1columnTeal20"/>
    <w:uiPriority w:val="99"/>
    <w:rsid w:val="005828F5"/>
    <w:pPr>
      <w:shd w:val="clear" w:color="auto" w:fill="1B598C"/>
    </w:pPr>
  </w:style>
  <w:style w:type="paragraph" w:customStyle="1" w:styleId="FigureHeadingspan">
    <w:name w:val="Figure Heading (span)"/>
    <w:basedOn w:val="FigureHeading"/>
    <w:uiPriority w:val="99"/>
    <w:rsid w:val="005828F5"/>
    <w:pPr>
      <w:spacing w:before="283" w:after="57"/>
    </w:pPr>
  </w:style>
  <w:style w:type="paragraph" w:customStyle="1" w:styleId="Keyactivityheading">
    <w:name w:val="Key activity heading"/>
    <w:basedOn w:val="H3"/>
    <w:uiPriority w:val="99"/>
    <w:rsid w:val="005828F5"/>
    <w:pPr>
      <w:spacing w:before="113"/>
    </w:pPr>
    <w:rPr>
      <w:rFonts w:ascii="WorkSans-Light" w:hAnsi="WorkSans-Light" w:cs="WorkSans-Light"/>
      <w:sz w:val="20"/>
      <w:szCs w:val="20"/>
    </w:rPr>
  </w:style>
  <w:style w:type="paragraph" w:customStyle="1" w:styleId="TableHeadingspan">
    <w:name w:val="Table Heading (span)"/>
    <w:basedOn w:val="Normal"/>
    <w:uiPriority w:val="99"/>
    <w:rsid w:val="005828F5"/>
    <w:pPr>
      <w:keepNext/>
      <w:suppressAutoHyphens/>
      <w:autoSpaceDE w:val="0"/>
      <w:autoSpaceDN w:val="0"/>
      <w:adjustRightInd w:val="0"/>
      <w:spacing w:before="0" w:after="170" w:line="348" w:lineRule="auto"/>
      <w:textAlignment w:val="center"/>
    </w:pPr>
    <w:rPr>
      <w:rFonts w:ascii="WorkSans-Light" w:hAnsi="WorkSans-Light" w:cs="WorkSans-Light"/>
      <w:color w:val="2F3A48"/>
      <w:sz w:val="20"/>
      <w:szCs w:val="20"/>
      <w:lang w:val="en-GB"/>
      <w14:ligatures w14:val="standardContextual"/>
    </w:rPr>
  </w:style>
  <w:style w:type="paragraph" w:customStyle="1" w:styleId="footnote">
    <w:name w:val="footnote"/>
    <w:basedOn w:val="BodyCopy"/>
    <w:uiPriority w:val="99"/>
    <w:rsid w:val="0007421B"/>
    <w:pPr>
      <w:ind w:left="170" w:hanging="170"/>
    </w:pPr>
    <w:rPr>
      <w:rFonts w:asciiTheme="minorHAnsi" w:hAnsiTheme="minorHAnsi"/>
      <w:color w:val="auto"/>
      <w:szCs w:val="16"/>
    </w:rPr>
  </w:style>
  <w:style w:type="paragraph" w:customStyle="1" w:styleId="TablecopyTables">
    <w:name w:val="Table copy (Tables)"/>
    <w:basedOn w:val="BodyCopy"/>
    <w:uiPriority w:val="99"/>
    <w:rsid w:val="00933431"/>
    <w:pPr>
      <w:tabs>
        <w:tab w:val="left" w:pos="113"/>
      </w:tabs>
      <w:spacing w:before="120" w:after="120" w:line="360" w:lineRule="auto"/>
    </w:pPr>
    <w:rPr>
      <w:rFonts w:asciiTheme="minorHAnsi" w:hAnsiTheme="minorHAnsi"/>
      <w:sz w:val="24"/>
      <w:szCs w:val="24"/>
    </w:rPr>
  </w:style>
  <w:style w:type="paragraph" w:customStyle="1" w:styleId="tableheaderTables">
    <w:name w:val="table header (Tables)"/>
    <w:basedOn w:val="TablecopyTables"/>
    <w:uiPriority w:val="99"/>
    <w:rsid w:val="005828F5"/>
    <w:rPr>
      <w:rFonts w:ascii="WorkSans-Medium" w:hAnsi="WorkSans-Medium" w:cs="WorkSans-Medium"/>
    </w:rPr>
  </w:style>
  <w:style w:type="character" w:customStyle="1" w:styleId="bold">
    <w:name w:val="bold"/>
    <w:uiPriority w:val="99"/>
    <w:rsid w:val="005828F5"/>
    <w:rPr>
      <w:b/>
      <w:bCs/>
    </w:rPr>
  </w:style>
  <w:style w:type="character" w:customStyle="1" w:styleId="Semibold">
    <w:name w:val="Semi bold"/>
    <w:uiPriority w:val="99"/>
    <w:rsid w:val="005828F5"/>
    <w:rPr>
      <w:rFonts w:ascii="WorkSans-SemiBold" w:hAnsi="WorkSans-SemiBold" w:cs="WorkSans-SemiBold"/>
      <w:b/>
      <w:bCs/>
    </w:rPr>
  </w:style>
  <w:style w:type="character" w:customStyle="1" w:styleId="Superscript">
    <w:name w:val="Superscript"/>
    <w:uiPriority w:val="99"/>
    <w:rsid w:val="005828F5"/>
    <w:rPr>
      <w:vertAlign w:val="superscript"/>
    </w:rPr>
  </w:style>
  <w:style w:type="character" w:customStyle="1" w:styleId="Highlight">
    <w:name w:val="Highlight"/>
    <w:uiPriority w:val="99"/>
    <w:rsid w:val="005828F5"/>
    <w:rPr>
      <w:u w:val="thick" w:color="DD453C"/>
    </w:rPr>
  </w:style>
  <w:style w:type="table" w:styleId="GridTable3-Accent1">
    <w:name w:val="Grid Table 3 Accent 1"/>
    <w:basedOn w:val="TableNormal"/>
    <w:uiPriority w:val="48"/>
    <w:rsid w:val="005828F5"/>
    <w:rPr>
      <w:kern w:val="2"/>
      <w14:ligatures w14:val="standardContextual"/>
    </w:rPr>
    <w:tblPr>
      <w:tblStyleRowBandSize w:val="1"/>
      <w:tblStyleColBandSize w:val="1"/>
      <w:tblBorders>
        <w:top w:val="single" w:sz="4" w:space="0" w:color="98DCE4" w:themeColor="accent1" w:themeTint="99"/>
        <w:left w:val="single" w:sz="4" w:space="0" w:color="98DCE4" w:themeColor="accent1" w:themeTint="99"/>
        <w:bottom w:val="single" w:sz="4" w:space="0" w:color="98DCE4" w:themeColor="accent1" w:themeTint="99"/>
        <w:right w:val="single" w:sz="4" w:space="0" w:color="98DCE4" w:themeColor="accent1" w:themeTint="99"/>
        <w:insideH w:val="single" w:sz="4" w:space="0" w:color="98DCE4" w:themeColor="accent1" w:themeTint="99"/>
        <w:insideV w:val="single" w:sz="4" w:space="0" w:color="98DCE4" w:themeColor="accent1" w:themeTint="99"/>
      </w:tblBorders>
    </w:tblPr>
    <w:tblStylePr w:type="firstRow">
      <w:rPr>
        <w:b/>
        <w:bCs/>
      </w:rPr>
      <w:tblPr/>
      <w:tcPr>
        <w:tcBorders>
          <w:top w:val="nil"/>
          <w:left w:val="nil"/>
          <w:right w:val="nil"/>
          <w:insideH w:val="nil"/>
          <w:insideV w:val="nil"/>
        </w:tcBorders>
        <w:shd w:val="clear" w:color="auto" w:fill="E1E8F6" w:themeFill="background1"/>
      </w:tcPr>
    </w:tblStylePr>
    <w:tblStylePr w:type="lastRow">
      <w:rPr>
        <w:b/>
        <w:bCs/>
      </w:rPr>
      <w:tblPr/>
      <w:tcPr>
        <w:tcBorders>
          <w:left w:val="nil"/>
          <w:bottom w:val="nil"/>
          <w:right w:val="nil"/>
          <w:insideH w:val="nil"/>
          <w:insideV w:val="nil"/>
        </w:tcBorders>
        <w:shd w:val="clear" w:color="auto" w:fill="E1E8F6" w:themeFill="background1"/>
      </w:tcPr>
    </w:tblStylePr>
    <w:tblStylePr w:type="firstCol">
      <w:pPr>
        <w:jc w:val="right"/>
      </w:pPr>
      <w:rPr>
        <w:i/>
        <w:iCs/>
      </w:rPr>
      <w:tblPr/>
      <w:tcPr>
        <w:tcBorders>
          <w:top w:val="nil"/>
          <w:left w:val="nil"/>
          <w:bottom w:val="nil"/>
          <w:insideH w:val="nil"/>
          <w:insideV w:val="nil"/>
        </w:tcBorders>
        <w:shd w:val="clear" w:color="auto" w:fill="E1E8F6" w:themeFill="background1"/>
      </w:tcPr>
    </w:tblStylePr>
    <w:tblStylePr w:type="lastCol">
      <w:rPr>
        <w:i/>
        <w:iCs/>
      </w:rPr>
      <w:tblPr/>
      <w:tcPr>
        <w:tcBorders>
          <w:top w:val="nil"/>
          <w:bottom w:val="nil"/>
          <w:right w:val="nil"/>
          <w:insideH w:val="nil"/>
          <w:insideV w:val="nil"/>
        </w:tcBorders>
        <w:shd w:val="clear" w:color="auto" w:fill="E1E8F6" w:themeFill="background1"/>
      </w:tcPr>
    </w:tblStylePr>
    <w:tblStylePr w:type="band1Vert">
      <w:tblPr/>
      <w:tcPr>
        <w:shd w:val="clear" w:color="auto" w:fill="DCF3F6" w:themeFill="accent1" w:themeFillTint="33"/>
      </w:tcPr>
    </w:tblStylePr>
    <w:tblStylePr w:type="band1Horz">
      <w:tblPr/>
      <w:tcPr>
        <w:shd w:val="clear" w:color="auto" w:fill="DCF3F6" w:themeFill="accent1" w:themeFillTint="33"/>
      </w:tcPr>
    </w:tblStylePr>
    <w:tblStylePr w:type="neCell">
      <w:tblPr/>
      <w:tcPr>
        <w:tcBorders>
          <w:bottom w:val="single" w:sz="4" w:space="0" w:color="98DCE4" w:themeColor="accent1" w:themeTint="99"/>
        </w:tcBorders>
      </w:tcPr>
    </w:tblStylePr>
    <w:tblStylePr w:type="nwCell">
      <w:tblPr/>
      <w:tcPr>
        <w:tcBorders>
          <w:bottom w:val="single" w:sz="4" w:space="0" w:color="98DCE4" w:themeColor="accent1" w:themeTint="99"/>
        </w:tcBorders>
      </w:tcPr>
    </w:tblStylePr>
    <w:tblStylePr w:type="seCell">
      <w:tblPr/>
      <w:tcPr>
        <w:tcBorders>
          <w:top w:val="single" w:sz="4" w:space="0" w:color="98DCE4" w:themeColor="accent1" w:themeTint="99"/>
        </w:tcBorders>
      </w:tcPr>
    </w:tblStylePr>
    <w:tblStylePr w:type="swCell">
      <w:tblPr/>
      <w:tcPr>
        <w:tcBorders>
          <w:top w:val="single" w:sz="4" w:space="0" w:color="98DCE4" w:themeColor="accent1" w:themeTint="99"/>
        </w:tcBorders>
      </w:tcPr>
    </w:tblStylePr>
  </w:style>
  <w:style w:type="paragraph" w:customStyle="1" w:styleId="NormalblueWorkSans">
    <w:name w:val="Normal blue Work Sans"/>
    <w:basedOn w:val="Normal"/>
    <w:qFormat/>
    <w:rsid w:val="00AB7525"/>
    <w:rPr>
      <w:color w:val="1B598C" w:themeColor="text1"/>
      <w:sz w:val="28"/>
      <w:szCs w:val="28"/>
      <w:lang w:val="en-GB"/>
    </w:rPr>
  </w:style>
  <w:style w:type="paragraph" w:styleId="Caption">
    <w:name w:val="caption"/>
    <w:basedOn w:val="Normal"/>
    <w:next w:val="Normal"/>
    <w:uiPriority w:val="35"/>
    <w:unhideWhenUsed/>
    <w:qFormat/>
    <w:rsid w:val="00592DDA"/>
    <w:pPr>
      <w:spacing w:before="0" w:after="200" w:line="240" w:lineRule="auto"/>
    </w:pPr>
    <w:rPr>
      <w:iCs/>
      <w:sz w:val="20"/>
      <w:szCs w:val="18"/>
    </w:rPr>
  </w:style>
  <w:style w:type="table" w:customStyle="1" w:styleId="CorporatePlan">
    <w:name w:val="Corporate Plan"/>
    <w:basedOn w:val="TableNormal"/>
    <w:uiPriority w:val="99"/>
    <w:rsid w:val="00AB1FB4"/>
    <w:tblPr>
      <w:tblStyleRowBandSize w:val="1"/>
      <w:tblBorders>
        <w:bottom w:val="single" w:sz="4" w:space="0" w:color="2F3A48" w:themeColor="text2"/>
        <w:insideH w:val="single" w:sz="4" w:space="0" w:color="2F3A48" w:themeColor="text2"/>
      </w:tblBorders>
    </w:tblPr>
    <w:trPr>
      <w:cantSplit/>
    </w:trPr>
    <w:tblStylePr w:type="firstRow">
      <w:rPr>
        <w:b/>
        <w:color w:val="FFFFFF" w:themeColor="accent5"/>
      </w:rPr>
      <w:tblPr/>
      <w:tcPr>
        <w:tcBorders>
          <w:top w:val="nil"/>
          <w:left w:val="nil"/>
          <w:bottom w:val="single" w:sz="48" w:space="0" w:color="1B598C" w:themeColor="text1"/>
          <w:right w:val="nil"/>
          <w:insideH w:val="nil"/>
          <w:insideV w:val="nil"/>
          <w:tl2br w:val="nil"/>
          <w:tr2bl w:val="nil"/>
        </w:tcBorders>
        <w:shd w:val="clear" w:color="auto" w:fill="2F3A48" w:themeFill="text2"/>
      </w:tcPr>
    </w:tblStylePr>
    <w:tblStylePr w:type="lastRow">
      <w:rPr>
        <w:b w:val="0"/>
      </w:rPr>
    </w:tblStylePr>
    <w:tblStylePr w:type="firstCol">
      <w:rPr>
        <w:b/>
      </w:rPr>
    </w:tblStylePr>
    <w:tblStylePr w:type="band1Horz">
      <w:tblPr/>
      <w:tcPr>
        <w:shd w:val="clear" w:color="auto" w:fill="F4F7F9"/>
      </w:tcPr>
    </w:tblStylePr>
  </w:style>
  <w:style w:type="paragraph" w:customStyle="1" w:styleId="Imprintpage">
    <w:name w:val="Imprint page"/>
    <w:basedOn w:val="Normal"/>
    <w:qFormat/>
    <w:rsid w:val="00F249C5"/>
    <w:pPr>
      <w:spacing w:before="120" w:after="120"/>
    </w:pPr>
    <w:rPr>
      <w:color w:val="auto"/>
      <w:sz w:val="14"/>
    </w:rPr>
  </w:style>
  <w:style w:type="paragraph" w:styleId="Title">
    <w:name w:val="Title"/>
    <w:basedOn w:val="Heading1"/>
    <w:next w:val="Normal"/>
    <w:link w:val="TitleChar"/>
    <w:uiPriority w:val="10"/>
    <w:rsid w:val="00434A7D"/>
    <w:pPr>
      <w:pageBreakBefore w:val="0"/>
      <w:spacing w:before="240"/>
      <w:contextualSpacing/>
    </w:pPr>
    <w:rPr>
      <w:color w:val="FFFFFF" w:themeColor="accent5"/>
      <w:sz w:val="72"/>
    </w:rPr>
  </w:style>
  <w:style w:type="character" w:customStyle="1" w:styleId="TitleChar">
    <w:name w:val="Title Char"/>
    <w:basedOn w:val="DefaultParagraphFont"/>
    <w:link w:val="Title"/>
    <w:uiPriority w:val="10"/>
    <w:rsid w:val="00434A7D"/>
    <w:rPr>
      <w:rFonts w:ascii="Work Sans SemiBold" w:hAnsi="Work Sans SemiBold" w:cs="Calibri"/>
      <w:bCs/>
      <w:color w:val="FFFFFF" w:themeColor="accent5"/>
      <w:sz w:val="72"/>
      <w:szCs w:val="36"/>
    </w:rPr>
  </w:style>
  <w:style w:type="character" w:customStyle="1" w:styleId="Heading8Char">
    <w:name w:val="Heading 8 Char"/>
    <w:basedOn w:val="DefaultParagraphFont"/>
    <w:link w:val="Heading8"/>
    <w:uiPriority w:val="9"/>
    <w:semiHidden/>
    <w:rsid w:val="00122655"/>
    <w:rPr>
      <w:rFonts w:asciiTheme="majorHAnsi" w:eastAsiaTheme="majorEastAsia" w:hAnsiTheme="majorHAnsi" w:cstheme="majorBidi"/>
      <w:color w:val="2374B7" w:themeColor="text1" w:themeTint="D8"/>
      <w:sz w:val="21"/>
      <w:szCs w:val="21"/>
    </w:rPr>
  </w:style>
  <w:style w:type="character" w:styleId="Mention">
    <w:name w:val="Mention"/>
    <w:basedOn w:val="DefaultParagraphFont"/>
    <w:uiPriority w:val="99"/>
    <w:unhideWhenUsed/>
    <w:rsid w:val="00A66D24"/>
    <w:rPr>
      <w:color w:val="2B579A"/>
      <w:shd w:val="clear" w:color="auto" w:fill="E1DFDD"/>
    </w:rPr>
  </w:style>
  <w:style w:type="table" w:customStyle="1" w:styleId="CorporatePlan1">
    <w:name w:val="Corporate Plan1"/>
    <w:basedOn w:val="TableNormal"/>
    <w:uiPriority w:val="99"/>
    <w:rsid w:val="00FB136E"/>
    <w:tblPr>
      <w:tblStyleRowBandSize w:val="1"/>
      <w:tblBorders>
        <w:bottom w:val="single" w:sz="4" w:space="0" w:color="2F3A48"/>
        <w:insideH w:val="single" w:sz="4" w:space="0" w:color="2F3A48"/>
      </w:tblBorders>
    </w:tblPr>
    <w:trPr>
      <w:cantSplit/>
    </w:trPr>
    <w:tblStylePr w:type="firstRow">
      <w:rPr>
        <w:b/>
        <w:color w:val="FFFFFF"/>
      </w:rPr>
      <w:tblPr/>
      <w:tcPr>
        <w:tcBorders>
          <w:top w:val="nil"/>
          <w:left w:val="nil"/>
          <w:bottom w:val="single" w:sz="48" w:space="0" w:color="1B598C"/>
          <w:right w:val="nil"/>
          <w:insideH w:val="nil"/>
          <w:insideV w:val="nil"/>
          <w:tl2br w:val="nil"/>
          <w:tr2bl w:val="nil"/>
        </w:tcBorders>
        <w:shd w:val="clear" w:color="auto" w:fill="2F3A48"/>
      </w:tcPr>
    </w:tblStylePr>
    <w:tblStylePr w:type="lastRow">
      <w:rPr>
        <w:b w:val="0"/>
      </w:rPr>
    </w:tblStylePr>
    <w:tblStylePr w:type="firstCol">
      <w:rPr>
        <w:b/>
      </w:rPr>
    </w:tblStylePr>
    <w:tblStylePr w:type="band1Horz">
      <w:tblPr/>
      <w:tcPr>
        <w:shd w:val="clear" w:color="auto" w:fill="F4F7F9"/>
      </w:tcPr>
    </w:tblStylePr>
  </w:style>
  <w:style w:type="table" w:customStyle="1" w:styleId="TableGrid1">
    <w:name w:val="Table Grid1"/>
    <w:basedOn w:val="TableNormal"/>
    <w:next w:val="TableGrid"/>
    <w:uiPriority w:val="59"/>
    <w:rsid w:val="00FB136E"/>
    <w:rPr>
      <w:rFonts w:eastAsia="MS Mincho"/>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FB136E"/>
    <w:rPr>
      <w:rFonts w:eastAsia="MS Mincho"/>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igureTitle">
    <w:name w:val="Figure Title"/>
    <w:basedOn w:val="Normal"/>
    <w:next w:val="Normal"/>
    <w:uiPriority w:val="12"/>
    <w:rsid w:val="009E669C"/>
    <w:pPr>
      <w:keepNext/>
      <w:numPr>
        <w:numId w:val="20"/>
      </w:numPr>
    </w:pPr>
    <w:rPr>
      <w:rFonts w:eastAsiaTheme="minorEastAsia"/>
      <w:sz w:val="22"/>
      <w:szCs w:val="19"/>
    </w:rPr>
  </w:style>
  <w:style w:type="paragraph" w:customStyle="1" w:styleId="Pullquote">
    <w:name w:val="Pull quote"/>
    <w:basedOn w:val="List1Numbered2"/>
    <w:qFormat/>
    <w:rsid w:val="0026417C"/>
    <w:pPr>
      <w:numPr>
        <w:ilvl w:val="0"/>
        <w:numId w:val="0"/>
      </w:numPr>
      <w:pBdr>
        <w:top w:val="single" w:sz="48" w:space="6" w:color="E1E8F6" w:themeColor="background1"/>
        <w:left w:val="single" w:sz="48" w:space="6" w:color="E1E8F6" w:themeColor="background1"/>
        <w:bottom w:val="single" w:sz="48" w:space="6" w:color="E1E8F6" w:themeColor="background1"/>
        <w:right w:val="single" w:sz="48" w:space="6" w:color="E1E8F6" w:themeColor="background1"/>
      </w:pBdr>
      <w:shd w:val="clear" w:color="auto" w:fill="E1E8F6" w:themeFill="background1"/>
      <w:ind w:right="52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5945">
      <w:bodyDiv w:val="1"/>
      <w:marLeft w:val="0"/>
      <w:marRight w:val="0"/>
      <w:marTop w:val="0"/>
      <w:marBottom w:val="0"/>
      <w:divBdr>
        <w:top w:val="none" w:sz="0" w:space="0" w:color="auto"/>
        <w:left w:val="none" w:sz="0" w:space="0" w:color="auto"/>
        <w:bottom w:val="none" w:sz="0" w:space="0" w:color="auto"/>
        <w:right w:val="none" w:sz="0" w:space="0" w:color="auto"/>
      </w:divBdr>
      <w:divsChild>
        <w:div w:id="478768793">
          <w:marLeft w:val="446"/>
          <w:marRight w:val="0"/>
          <w:marTop w:val="0"/>
          <w:marBottom w:val="0"/>
          <w:divBdr>
            <w:top w:val="none" w:sz="0" w:space="0" w:color="auto"/>
            <w:left w:val="none" w:sz="0" w:space="0" w:color="auto"/>
            <w:bottom w:val="none" w:sz="0" w:space="0" w:color="auto"/>
            <w:right w:val="none" w:sz="0" w:space="0" w:color="auto"/>
          </w:divBdr>
        </w:div>
        <w:div w:id="564997618">
          <w:marLeft w:val="446"/>
          <w:marRight w:val="0"/>
          <w:marTop w:val="0"/>
          <w:marBottom w:val="0"/>
          <w:divBdr>
            <w:top w:val="none" w:sz="0" w:space="0" w:color="auto"/>
            <w:left w:val="none" w:sz="0" w:space="0" w:color="auto"/>
            <w:bottom w:val="none" w:sz="0" w:space="0" w:color="auto"/>
            <w:right w:val="none" w:sz="0" w:space="0" w:color="auto"/>
          </w:divBdr>
        </w:div>
        <w:div w:id="1976520208">
          <w:marLeft w:val="446"/>
          <w:marRight w:val="0"/>
          <w:marTop w:val="0"/>
          <w:marBottom w:val="0"/>
          <w:divBdr>
            <w:top w:val="none" w:sz="0" w:space="0" w:color="auto"/>
            <w:left w:val="none" w:sz="0" w:space="0" w:color="auto"/>
            <w:bottom w:val="none" w:sz="0" w:space="0" w:color="auto"/>
            <w:right w:val="none" w:sz="0" w:space="0" w:color="auto"/>
          </w:divBdr>
        </w:div>
      </w:divsChild>
    </w:div>
    <w:div w:id="63261141">
      <w:bodyDiv w:val="1"/>
      <w:marLeft w:val="0"/>
      <w:marRight w:val="0"/>
      <w:marTop w:val="0"/>
      <w:marBottom w:val="0"/>
      <w:divBdr>
        <w:top w:val="none" w:sz="0" w:space="0" w:color="auto"/>
        <w:left w:val="none" w:sz="0" w:space="0" w:color="auto"/>
        <w:bottom w:val="none" w:sz="0" w:space="0" w:color="auto"/>
        <w:right w:val="none" w:sz="0" w:space="0" w:color="auto"/>
      </w:divBdr>
      <w:divsChild>
        <w:div w:id="1361202429">
          <w:marLeft w:val="446"/>
          <w:marRight w:val="0"/>
          <w:marTop w:val="0"/>
          <w:marBottom w:val="0"/>
          <w:divBdr>
            <w:top w:val="none" w:sz="0" w:space="0" w:color="auto"/>
            <w:left w:val="none" w:sz="0" w:space="0" w:color="auto"/>
            <w:bottom w:val="none" w:sz="0" w:space="0" w:color="auto"/>
            <w:right w:val="none" w:sz="0" w:space="0" w:color="auto"/>
          </w:divBdr>
        </w:div>
        <w:div w:id="1611467998">
          <w:marLeft w:val="446"/>
          <w:marRight w:val="0"/>
          <w:marTop w:val="0"/>
          <w:marBottom w:val="0"/>
          <w:divBdr>
            <w:top w:val="none" w:sz="0" w:space="0" w:color="auto"/>
            <w:left w:val="none" w:sz="0" w:space="0" w:color="auto"/>
            <w:bottom w:val="none" w:sz="0" w:space="0" w:color="auto"/>
            <w:right w:val="none" w:sz="0" w:space="0" w:color="auto"/>
          </w:divBdr>
        </w:div>
        <w:div w:id="1864980406">
          <w:marLeft w:val="446"/>
          <w:marRight w:val="0"/>
          <w:marTop w:val="0"/>
          <w:marBottom w:val="0"/>
          <w:divBdr>
            <w:top w:val="none" w:sz="0" w:space="0" w:color="auto"/>
            <w:left w:val="none" w:sz="0" w:space="0" w:color="auto"/>
            <w:bottom w:val="none" w:sz="0" w:space="0" w:color="auto"/>
            <w:right w:val="none" w:sz="0" w:space="0" w:color="auto"/>
          </w:divBdr>
        </w:div>
      </w:divsChild>
    </w:div>
    <w:div w:id="168297000">
      <w:bodyDiv w:val="1"/>
      <w:marLeft w:val="0"/>
      <w:marRight w:val="0"/>
      <w:marTop w:val="0"/>
      <w:marBottom w:val="0"/>
      <w:divBdr>
        <w:top w:val="none" w:sz="0" w:space="0" w:color="auto"/>
        <w:left w:val="none" w:sz="0" w:space="0" w:color="auto"/>
        <w:bottom w:val="none" w:sz="0" w:space="0" w:color="auto"/>
        <w:right w:val="none" w:sz="0" w:space="0" w:color="auto"/>
      </w:divBdr>
    </w:div>
    <w:div w:id="183134472">
      <w:bodyDiv w:val="1"/>
      <w:marLeft w:val="0"/>
      <w:marRight w:val="0"/>
      <w:marTop w:val="0"/>
      <w:marBottom w:val="0"/>
      <w:divBdr>
        <w:top w:val="none" w:sz="0" w:space="0" w:color="auto"/>
        <w:left w:val="none" w:sz="0" w:space="0" w:color="auto"/>
        <w:bottom w:val="none" w:sz="0" w:space="0" w:color="auto"/>
        <w:right w:val="none" w:sz="0" w:space="0" w:color="auto"/>
      </w:divBdr>
      <w:divsChild>
        <w:div w:id="75638661">
          <w:marLeft w:val="446"/>
          <w:marRight w:val="0"/>
          <w:marTop w:val="0"/>
          <w:marBottom w:val="0"/>
          <w:divBdr>
            <w:top w:val="none" w:sz="0" w:space="0" w:color="auto"/>
            <w:left w:val="none" w:sz="0" w:space="0" w:color="auto"/>
            <w:bottom w:val="none" w:sz="0" w:space="0" w:color="auto"/>
            <w:right w:val="none" w:sz="0" w:space="0" w:color="auto"/>
          </w:divBdr>
        </w:div>
        <w:div w:id="541209766">
          <w:marLeft w:val="446"/>
          <w:marRight w:val="0"/>
          <w:marTop w:val="0"/>
          <w:marBottom w:val="0"/>
          <w:divBdr>
            <w:top w:val="none" w:sz="0" w:space="0" w:color="auto"/>
            <w:left w:val="none" w:sz="0" w:space="0" w:color="auto"/>
            <w:bottom w:val="none" w:sz="0" w:space="0" w:color="auto"/>
            <w:right w:val="none" w:sz="0" w:space="0" w:color="auto"/>
          </w:divBdr>
        </w:div>
        <w:div w:id="1199472392">
          <w:marLeft w:val="446"/>
          <w:marRight w:val="0"/>
          <w:marTop w:val="0"/>
          <w:marBottom w:val="0"/>
          <w:divBdr>
            <w:top w:val="none" w:sz="0" w:space="0" w:color="auto"/>
            <w:left w:val="none" w:sz="0" w:space="0" w:color="auto"/>
            <w:bottom w:val="none" w:sz="0" w:space="0" w:color="auto"/>
            <w:right w:val="none" w:sz="0" w:space="0" w:color="auto"/>
          </w:divBdr>
        </w:div>
      </w:divsChild>
    </w:div>
    <w:div w:id="219094528">
      <w:bodyDiv w:val="1"/>
      <w:marLeft w:val="0"/>
      <w:marRight w:val="0"/>
      <w:marTop w:val="0"/>
      <w:marBottom w:val="0"/>
      <w:divBdr>
        <w:top w:val="none" w:sz="0" w:space="0" w:color="auto"/>
        <w:left w:val="none" w:sz="0" w:space="0" w:color="auto"/>
        <w:bottom w:val="none" w:sz="0" w:space="0" w:color="auto"/>
        <w:right w:val="none" w:sz="0" w:space="0" w:color="auto"/>
      </w:divBdr>
    </w:div>
    <w:div w:id="421798078">
      <w:bodyDiv w:val="1"/>
      <w:marLeft w:val="0"/>
      <w:marRight w:val="0"/>
      <w:marTop w:val="0"/>
      <w:marBottom w:val="0"/>
      <w:divBdr>
        <w:top w:val="none" w:sz="0" w:space="0" w:color="auto"/>
        <w:left w:val="none" w:sz="0" w:space="0" w:color="auto"/>
        <w:bottom w:val="none" w:sz="0" w:space="0" w:color="auto"/>
        <w:right w:val="none" w:sz="0" w:space="0" w:color="auto"/>
      </w:divBdr>
      <w:divsChild>
        <w:div w:id="365568184">
          <w:marLeft w:val="446"/>
          <w:marRight w:val="0"/>
          <w:marTop w:val="0"/>
          <w:marBottom w:val="0"/>
          <w:divBdr>
            <w:top w:val="none" w:sz="0" w:space="0" w:color="auto"/>
            <w:left w:val="none" w:sz="0" w:space="0" w:color="auto"/>
            <w:bottom w:val="none" w:sz="0" w:space="0" w:color="auto"/>
            <w:right w:val="none" w:sz="0" w:space="0" w:color="auto"/>
          </w:divBdr>
        </w:div>
        <w:div w:id="1764758777">
          <w:marLeft w:val="446"/>
          <w:marRight w:val="0"/>
          <w:marTop w:val="0"/>
          <w:marBottom w:val="0"/>
          <w:divBdr>
            <w:top w:val="none" w:sz="0" w:space="0" w:color="auto"/>
            <w:left w:val="none" w:sz="0" w:space="0" w:color="auto"/>
            <w:bottom w:val="none" w:sz="0" w:space="0" w:color="auto"/>
            <w:right w:val="none" w:sz="0" w:space="0" w:color="auto"/>
          </w:divBdr>
        </w:div>
      </w:divsChild>
    </w:div>
    <w:div w:id="424616047">
      <w:bodyDiv w:val="1"/>
      <w:marLeft w:val="0"/>
      <w:marRight w:val="0"/>
      <w:marTop w:val="0"/>
      <w:marBottom w:val="0"/>
      <w:divBdr>
        <w:top w:val="none" w:sz="0" w:space="0" w:color="auto"/>
        <w:left w:val="none" w:sz="0" w:space="0" w:color="auto"/>
        <w:bottom w:val="none" w:sz="0" w:space="0" w:color="auto"/>
        <w:right w:val="none" w:sz="0" w:space="0" w:color="auto"/>
      </w:divBdr>
    </w:div>
    <w:div w:id="436172741">
      <w:bodyDiv w:val="1"/>
      <w:marLeft w:val="0"/>
      <w:marRight w:val="0"/>
      <w:marTop w:val="0"/>
      <w:marBottom w:val="0"/>
      <w:divBdr>
        <w:top w:val="none" w:sz="0" w:space="0" w:color="auto"/>
        <w:left w:val="none" w:sz="0" w:space="0" w:color="auto"/>
        <w:bottom w:val="none" w:sz="0" w:space="0" w:color="auto"/>
        <w:right w:val="none" w:sz="0" w:space="0" w:color="auto"/>
      </w:divBdr>
      <w:divsChild>
        <w:div w:id="501090668">
          <w:marLeft w:val="446"/>
          <w:marRight w:val="0"/>
          <w:marTop w:val="0"/>
          <w:marBottom w:val="0"/>
          <w:divBdr>
            <w:top w:val="none" w:sz="0" w:space="0" w:color="auto"/>
            <w:left w:val="none" w:sz="0" w:space="0" w:color="auto"/>
            <w:bottom w:val="none" w:sz="0" w:space="0" w:color="auto"/>
            <w:right w:val="none" w:sz="0" w:space="0" w:color="auto"/>
          </w:divBdr>
        </w:div>
        <w:div w:id="1565330030">
          <w:marLeft w:val="446"/>
          <w:marRight w:val="0"/>
          <w:marTop w:val="0"/>
          <w:marBottom w:val="0"/>
          <w:divBdr>
            <w:top w:val="none" w:sz="0" w:space="0" w:color="auto"/>
            <w:left w:val="none" w:sz="0" w:space="0" w:color="auto"/>
            <w:bottom w:val="none" w:sz="0" w:space="0" w:color="auto"/>
            <w:right w:val="none" w:sz="0" w:space="0" w:color="auto"/>
          </w:divBdr>
        </w:div>
        <w:div w:id="1943760265">
          <w:marLeft w:val="446"/>
          <w:marRight w:val="0"/>
          <w:marTop w:val="0"/>
          <w:marBottom w:val="0"/>
          <w:divBdr>
            <w:top w:val="none" w:sz="0" w:space="0" w:color="auto"/>
            <w:left w:val="none" w:sz="0" w:space="0" w:color="auto"/>
            <w:bottom w:val="none" w:sz="0" w:space="0" w:color="auto"/>
            <w:right w:val="none" w:sz="0" w:space="0" w:color="auto"/>
          </w:divBdr>
        </w:div>
      </w:divsChild>
    </w:div>
    <w:div w:id="476383576">
      <w:bodyDiv w:val="1"/>
      <w:marLeft w:val="0"/>
      <w:marRight w:val="0"/>
      <w:marTop w:val="0"/>
      <w:marBottom w:val="0"/>
      <w:divBdr>
        <w:top w:val="none" w:sz="0" w:space="0" w:color="auto"/>
        <w:left w:val="none" w:sz="0" w:space="0" w:color="auto"/>
        <w:bottom w:val="none" w:sz="0" w:space="0" w:color="auto"/>
        <w:right w:val="none" w:sz="0" w:space="0" w:color="auto"/>
      </w:divBdr>
    </w:div>
    <w:div w:id="479230562">
      <w:bodyDiv w:val="1"/>
      <w:marLeft w:val="0"/>
      <w:marRight w:val="0"/>
      <w:marTop w:val="0"/>
      <w:marBottom w:val="0"/>
      <w:divBdr>
        <w:top w:val="none" w:sz="0" w:space="0" w:color="auto"/>
        <w:left w:val="none" w:sz="0" w:space="0" w:color="auto"/>
        <w:bottom w:val="none" w:sz="0" w:space="0" w:color="auto"/>
        <w:right w:val="none" w:sz="0" w:space="0" w:color="auto"/>
      </w:divBdr>
      <w:divsChild>
        <w:div w:id="128130727">
          <w:marLeft w:val="547"/>
          <w:marRight w:val="0"/>
          <w:marTop w:val="200"/>
          <w:marBottom w:val="0"/>
          <w:divBdr>
            <w:top w:val="none" w:sz="0" w:space="0" w:color="auto"/>
            <w:left w:val="none" w:sz="0" w:space="0" w:color="auto"/>
            <w:bottom w:val="none" w:sz="0" w:space="0" w:color="auto"/>
            <w:right w:val="none" w:sz="0" w:space="0" w:color="auto"/>
          </w:divBdr>
        </w:div>
        <w:div w:id="380716898">
          <w:marLeft w:val="547"/>
          <w:marRight w:val="0"/>
          <w:marTop w:val="200"/>
          <w:marBottom w:val="0"/>
          <w:divBdr>
            <w:top w:val="none" w:sz="0" w:space="0" w:color="auto"/>
            <w:left w:val="none" w:sz="0" w:space="0" w:color="auto"/>
            <w:bottom w:val="none" w:sz="0" w:space="0" w:color="auto"/>
            <w:right w:val="none" w:sz="0" w:space="0" w:color="auto"/>
          </w:divBdr>
        </w:div>
        <w:div w:id="437916821">
          <w:marLeft w:val="547"/>
          <w:marRight w:val="0"/>
          <w:marTop w:val="200"/>
          <w:marBottom w:val="0"/>
          <w:divBdr>
            <w:top w:val="none" w:sz="0" w:space="0" w:color="auto"/>
            <w:left w:val="none" w:sz="0" w:space="0" w:color="auto"/>
            <w:bottom w:val="none" w:sz="0" w:space="0" w:color="auto"/>
            <w:right w:val="none" w:sz="0" w:space="0" w:color="auto"/>
          </w:divBdr>
        </w:div>
        <w:div w:id="1016686741">
          <w:marLeft w:val="547"/>
          <w:marRight w:val="0"/>
          <w:marTop w:val="200"/>
          <w:marBottom w:val="0"/>
          <w:divBdr>
            <w:top w:val="none" w:sz="0" w:space="0" w:color="auto"/>
            <w:left w:val="none" w:sz="0" w:space="0" w:color="auto"/>
            <w:bottom w:val="none" w:sz="0" w:space="0" w:color="auto"/>
            <w:right w:val="none" w:sz="0" w:space="0" w:color="auto"/>
          </w:divBdr>
        </w:div>
        <w:div w:id="1176113140">
          <w:marLeft w:val="547"/>
          <w:marRight w:val="0"/>
          <w:marTop w:val="200"/>
          <w:marBottom w:val="0"/>
          <w:divBdr>
            <w:top w:val="none" w:sz="0" w:space="0" w:color="auto"/>
            <w:left w:val="none" w:sz="0" w:space="0" w:color="auto"/>
            <w:bottom w:val="none" w:sz="0" w:space="0" w:color="auto"/>
            <w:right w:val="none" w:sz="0" w:space="0" w:color="auto"/>
          </w:divBdr>
        </w:div>
      </w:divsChild>
    </w:div>
    <w:div w:id="575164260">
      <w:bodyDiv w:val="1"/>
      <w:marLeft w:val="0"/>
      <w:marRight w:val="0"/>
      <w:marTop w:val="0"/>
      <w:marBottom w:val="0"/>
      <w:divBdr>
        <w:top w:val="none" w:sz="0" w:space="0" w:color="auto"/>
        <w:left w:val="none" w:sz="0" w:space="0" w:color="auto"/>
        <w:bottom w:val="none" w:sz="0" w:space="0" w:color="auto"/>
        <w:right w:val="none" w:sz="0" w:space="0" w:color="auto"/>
      </w:divBdr>
      <w:divsChild>
        <w:div w:id="54397789">
          <w:marLeft w:val="547"/>
          <w:marRight w:val="0"/>
          <w:marTop w:val="200"/>
          <w:marBottom w:val="0"/>
          <w:divBdr>
            <w:top w:val="none" w:sz="0" w:space="0" w:color="auto"/>
            <w:left w:val="none" w:sz="0" w:space="0" w:color="auto"/>
            <w:bottom w:val="none" w:sz="0" w:space="0" w:color="auto"/>
            <w:right w:val="none" w:sz="0" w:space="0" w:color="auto"/>
          </w:divBdr>
        </w:div>
        <w:div w:id="400447218">
          <w:marLeft w:val="547"/>
          <w:marRight w:val="0"/>
          <w:marTop w:val="200"/>
          <w:marBottom w:val="0"/>
          <w:divBdr>
            <w:top w:val="none" w:sz="0" w:space="0" w:color="auto"/>
            <w:left w:val="none" w:sz="0" w:space="0" w:color="auto"/>
            <w:bottom w:val="none" w:sz="0" w:space="0" w:color="auto"/>
            <w:right w:val="none" w:sz="0" w:space="0" w:color="auto"/>
          </w:divBdr>
        </w:div>
        <w:div w:id="429424409">
          <w:marLeft w:val="547"/>
          <w:marRight w:val="0"/>
          <w:marTop w:val="200"/>
          <w:marBottom w:val="0"/>
          <w:divBdr>
            <w:top w:val="none" w:sz="0" w:space="0" w:color="auto"/>
            <w:left w:val="none" w:sz="0" w:space="0" w:color="auto"/>
            <w:bottom w:val="none" w:sz="0" w:space="0" w:color="auto"/>
            <w:right w:val="none" w:sz="0" w:space="0" w:color="auto"/>
          </w:divBdr>
        </w:div>
        <w:div w:id="1932201512">
          <w:marLeft w:val="547"/>
          <w:marRight w:val="0"/>
          <w:marTop w:val="200"/>
          <w:marBottom w:val="0"/>
          <w:divBdr>
            <w:top w:val="none" w:sz="0" w:space="0" w:color="auto"/>
            <w:left w:val="none" w:sz="0" w:space="0" w:color="auto"/>
            <w:bottom w:val="none" w:sz="0" w:space="0" w:color="auto"/>
            <w:right w:val="none" w:sz="0" w:space="0" w:color="auto"/>
          </w:divBdr>
        </w:div>
      </w:divsChild>
    </w:div>
    <w:div w:id="656688477">
      <w:bodyDiv w:val="1"/>
      <w:marLeft w:val="0"/>
      <w:marRight w:val="0"/>
      <w:marTop w:val="0"/>
      <w:marBottom w:val="0"/>
      <w:divBdr>
        <w:top w:val="none" w:sz="0" w:space="0" w:color="auto"/>
        <w:left w:val="none" w:sz="0" w:space="0" w:color="auto"/>
        <w:bottom w:val="none" w:sz="0" w:space="0" w:color="auto"/>
        <w:right w:val="none" w:sz="0" w:space="0" w:color="auto"/>
      </w:divBdr>
      <w:divsChild>
        <w:div w:id="769353857">
          <w:marLeft w:val="547"/>
          <w:marRight w:val="0"/>
          <w:marTop w:val="0"/>
          <w:marBottom w:val="0"/>
          <w:divBdr>
            <w:top w:val="none" w:sz="0" w:space="0" w:color="auto"/>
            <w:left w:val="none" w:sz="0" w:space="0" w:color="auto"/>
            <w:bottom w:val="none" w:sz="0" w:space="0" w:color="auto"/>
            <w:right w:val="none" w:sz="0" w:space="0" w:color="auto"/>
          </w:divBdr>
        </w:div>
        <w:div w:id="937711099">
          <w:marLeft w:val="547"/>
          <w:marRight w:val="0"/>
          <w:marTop w:val="0"/>
          <w:marBottom w:val="0"/>
          <w:divBdr>
            <w:top w:val="none" w:sz="0" w:space="0" w:color="auto"/>
            <w:left w:val="none" w:sz="0" w:space="0" w:color="auto"/>
            <w:bottom w:val="none" w:sz="0" w:space="0" w:color="auto"/>
            <w:right w:val="none" w:sz="0" w:space="0" w:color="auto"/>
          </w:divBdr>
        </w:div>
        <w:div w:id="1389496732">
          <w:marLeft w:val="547"/>
          <w:marRight w:val="0"/>
          <w:marTop w:val="0"/>
          <w:marBottom w:val="0"/>
          <w:divBdr>
            <w:top w:val="none" w:sz="0" w:space="0" w:color="auto"/>
            <w:left w:val="none" w:sz="0" w:space="0" w:color="auto"/>
            <w:bottom w:val="none" w:sz="0" w:space="0" w:color="auto"/>
            <w:right w:val="none" w:sz="0" w:space="0" w:color="auto"/>
          </w:divBdr>
        </w:div>
      </w:divsChild>
    </w:div>
    <w:div w:id="689531257">
      <w:bodyDiv w:val="1"/>
      <w:marLeft w:val="0"/>
      <w:marRight w:val="0"/>
      <w:marTop w:val="0"/>
      <w:marBottom w:val="0"/>
      <w:divBdr>
        <w:top w:val="none" w:sz="0" w:space="0" w:color="auto"/>
        <w:left w:val="none" w:sz="0" w:space="0" w:color="auto"/>
        <w:bottom w:val="none" w:sz="0" w:space="0" w:color="auto"/>
        <w:right w:val="none" w:sz="0" w:space="0" w:color="auto"/>
      </w:divBdr>
      <w:divsChild>
        <w:div w:id="126365667">
          <w:marLeft w:val="446"/>
          <w:marRight w:val="0"/>
          <w:marTop w:val="0"/>
          <w:marBottom w:val="0"/>
          <w:divBdr>
            <w:top w:val="none" w:sz="0" w:space="0" w:color="auto"/>
            <w:left w:val="none" w:sz="0" w:space="0" w:color="auto"/>
            <w:bottom w:val="none" w:sz="0" w:space="0" w:color="auto"/>
            <w:right w:val="none" w:sz="0" w:space="0" w:color="auto"/>
          </w:divBdr>
        </w:div>
        <w:div w:id="2128230715">
          <w:marLeft w:val="446"/>
          <w:marRight w:val="0"/>
          <w:marTop w:val="0"/>
          <w:marBottom w:val="0"/>
          <w:divBdr>
            <w:top w:val="none" w:sz="0" w:space="0" w:color="auto"/>
            <w:left w:val="none" w:sz="0" w:space="0" w:color="auto"/>
            <w:bottom w:val="none" w:sz="0" w:space="0" w:color="auto"/>
            <w:right w:val="none" w:sz="0" w:space="0" w:color="auto"/>
          </w:divBdr>
        </w:div>
      </w:divsChild>
    </w:div>
    <w:div w:id="858088031">
      <w:bodyDiv w:val="1"/>
      <w:marLeft w:val="0"/>
      <w:marRight w:val="0"/>
      <w:marTop w:val="0"/>
      <w:marBottom w:val="0"/>
      <w:divBdr>
        <w:top w:val="none" w:sz="0" w:space="0" w:color="auto"/>
        <w:left w:val="none" w:sz="0" w:space="0" w:color="auto"/>
        <w:bottom w:val="none" w:sz="0" w:space="0" w:color="auto"/>
        <w:right w:val="none" w:sz="0" w:space="0" w:color="auto"/>
      </w:divBdr>
    </w:div>
    <w:div w:id="928393835">
      <w:bodyDiv w:val="1"/>
      <w:marLeft w:val="0"/>
      <w:marRight w:val="0"/>
      <w:marTop w:val="0"/>
      <w:marBottom w:val="0"/>
      <w:divBdr>
        <w:top w:val="none" w:sz="0" w:space="0" w:color="auto"/>
        <w:left w:val="none" w:sz="0" w:space="0" w:color="auto"/>
        <w:bottom w:val="none" w:sz="0" w:space="0" w:color="auto"/>
        <w:right w:val="none" w:sz="0" w:space="0" w:color="auto"/>
      </w:divBdr>
      <w:divsChild>
        <w:div w:id="415203148">
          <w:marLeft w:val="547"/>
          <w:marRight w:val="0"/>
          <w:marTop w:val="120"/>
          <w:marBottom w:val="0"/>
          <w:divBdr>
            <w:top w:val="none" w:sz="0" w:space="0" w:color="auto"/>
            <w:left w:val="none" w:sz="0" w:space="0" w:color="auto"/>
            <w:bottom w:val="none" w:sz="0" w:space="0" w:color="auto"/>
            <w:right w:val="none" w:sz="0" w:space="0" w:color="auto"/>
          </w:divBdr>
        </w:div>
        <w:div w:id="597641240">
          <w:marLeft w:val="547"/>
          <w:marRight w:val="0"/>
          <w:marTop w:val="120"/>
          <w:marBottom w:val="0"/>
          <w:divBdr>
            <w:top w:val="none" w:sz="0" w:space="0" w:color="auto"/>
            <w:left w:val="none" w:sz="0" w:space="0" w:color="auto"/>
            <w:bottom w:val="none" w:sz="0" w:space="0" w:color="auto"/>
            <w:right w:val="none" w:sz="0" w:space="0" w:color="auto"/>
          </w:divBdr>
        </w:div>
        <w:div w:id="727459562">
          <w:marLeft w:val="547"/>
          <w:marRight w:val="0"/>
          <w:marTop w:val="120"/>
          <w:marBottom w:val="0"/>
          <w:divBdr>
            <w:top w:val="none" w:sz="0" w:space="0" w:color="auto"/>
            <w:left w:val="none" w:sz="0" w:space="0" w:color="auto"/>
            <w:bottom w:val="none" w:sz="0" w:space="0" w:color="auto"/>
            <w:right w:val="none" w:sz="0" w:space="0" w:color="auto"/>
          </w:divBdr>
        </w:div>
        <w:div w:id="840318714">
          <w:marLeft w:val="547"/>
          <w:marRight w:val="0"/>
          <w:marTop w:val="120"/>
          <w:marBottom w:val="0"/>
          <w:divBdr>
            <w:top w:val="none" w:sz="0" w:space="0" w:color="auto"/>
            <w:left w:val="none" w:sz="0" w:space="0" w:color="auto"/>
            <w:bottom w:val="none" w:sz="0" w:space="0" w:color="auto"/>
            <w:right w:val="none" w:sz="0" w:space="0" w:color="auto"/>
          </w:divBdr>
        </w:div>
        <w:div w:id="1055665100">
          <w:marLeft w:val="547"/>
          <w:marRight w:val="0"/>
          <w:marTop w:val="120"/>
          <w:marBottom w:val="0"/>
          <w:divBdr>
            <w:top w:val="none" w:sz="0" w:space="0" w:color="auto"/>
            <w:left w:val="none" w:sz="0" w:space="0" w:color="auto"/>
            <w:bottom w:val="none" w:sz="0" w:space="0" w:color="auto"/>
            <w:right w:val="none" w:sz="0" w:space="0" w:color="auto"/>
          </w:divBdr>
        </w:div>
        <w:div w:id="1302271490">
          <w:marLeft w:val="547"/>
          <w:marRight w:val="0"/>
          <w:marTop w:val="120"/>
          <w:marBottom w:val="0"/>
          <w:divBdr>
            <w:top w:val="none" w:sz="0" w:space="0" w:color="auto"/>
            <w:left w:val="none" w:sz="0" w:space="0" w:color="auto"/>
            <w:bottom w:val="none" w:sz="0" w:space="0" w:color="auto"/>
            <w:right w:val="none" w:sz="0" w:space="0" w:color="auto"/>
          </w:divBdr>
        </w:div>
        <w:div w:id="1590696236">
          <w:marLeft w:val="547"/>
          <w:marRight w:val="0"/>
          <w:marTop w:val="120"/>
          <w:marBottom w:val="0"/>
          <w:divBdr>
            <w:top w:val="none" w:sz="0" w:space="0" w:color="auto"/>
            <w:left w:val="none" w:sz="0" w:space="0" w:color="auto"/>
            <w:bottom w:val="none" w:sz="0" w:space="0" w:color="auto"/>
            <w:right w:val="none" w:sz="0" w:space="0" w:color="auto"/>
          </w:divBdr>
        </w:div>
        <w:div w:id="1800537518">
          <w:marLeft w:val="547"/>
          <w:marRight w:val="0"/>
          <w:marTop w:val="120"/>
          <w:marBottom w:val="0"/>
          <w:divBdr>
            <w:top w:val="none" w:sz="0" w:space="0" w:color="auto"/>
            <w:left w:val="none" w:sz="0" w:space="0" w:color="auto"/>
            <w:bottom w:val="none" w:sz="0" w:space="0" w:color="auto"/>
            <w:right w:val="none" w:sz="0" w:space="0" w:color="auto"/>
          </w:divBdr>
        </w:div>
      </w:divsChild>
    </w:div>
    <w:div w:id="997686174">
      <w:bodyDiv w:val="1"/>
      <w:marLeft w:val="0"/>
      <w:marRight w:val="0"/>
      <w:marTop w:val="0"/>
      <w:marBottom w:val="0"/>
      <w:divBdr>
        <w:top w:val="none" w:sz="0" w:space="0" w:color="auto"/>
        <w:left w:val="none" w:sz="0" w:space="0" w:color="auto"/>
        <w:bottom w:val="none" w:sz="0" w:space="0" w:color="auto"/>
        <w:right w:val="none" w:sz="0" w:space="0" w:color="auto"/>
      </w:divBdr>
      <w:divsChild>
        <w:div w:id="406536775">
          <w:marLeft w:val="547"/>
          <w:marRight w:val="0"/>
          <w:marTop w:val="200"/>
          <w:marBottom w:val="0"/>
          <w:divBdr>
            <w:top w:val="none" w:sz="0" w:space="0" w:color="auto"/>
            <w:left w:val="none" w:sz="0" w:space="0" w:color="auto"/>
            <w:bottom w:val="none" w:sz="0" w:space="0" w:color="auto"/>
            <w:right w:val="none" w:sz="0" w:space="0" w:color="auto"/>
          </w:divBdr>
        </w:div>
        <w:div w:id="495153891">
          <w:marLeft w:val="547"/>
          <w:marRight w:val="0"/>
          <w:marTop w:val="200"/>
          <w:marBottom w:val="0"/>
          <w:divBdr>
            <w:top w:val="none" w:sz="0" w:space="0" w:color="auto"/>
            <w:left w:val="none" w:sz="0" w:space="0" w:color="auto"/>
            <w:bottom w:val="none" w:sz="0" w:space="0" w:color="auto"/>
            <w:right w:val="none" w:sz="0" w:space="0" w:color="auto"/>
          </w:divBdr>
        </w:div>
        <w:div w:id="813333210">
          <w:marLeft w:val="547"/>
          <w:marRight w:val="0"/>
          <w:marTop w:val="200"/>
          <w:marBottom w:val="0"/>
          <w:divBdr>
            <w:top w:val="none" w:sz="0" w:space="0" w:color="auto"/>
            <w:left w:val="none" w:sz="0" w:space="0" w:color="auto"/>
            <w:bottom w:val="none" w:sz="0" w:space="0" w:color="auto"/>
            <w:right w:val="none" w:sz="0" w:space="0" w:color="auto"/>
          </w:divBdr>
        </w:div>
        <w:div w:id="1378045009">
          <w:marLeft w:val="547"/>
          <w:marRight w:val="0"/>
          <w:marTop w:val="200"/>
          <w:marBottom w:val="0"/>
          <w:divBdr>
            <w:top w:val="none" w:sz="0" w:space="0" w:color="auto"/>
            <w:left w:val="none" w:sz="0" w:space="0" w:color="auto"/>
            <w:bottom w:val="none" w:sz="0" w:space="0" w:color="auto"/>
            <w:right w:val="none" w:sz="0" w:space="0" w:color="auto"/>
          </w:divBdr>
        </w:div>
        <w:div w:id="1746104938">
          <w:marLeft w:val="547"/>
          <w:marRight w:val="0"/>
          <w:marTop w:val="200"/>
          <w:marBottom w:val="0"/>
          <w:divBdr>
            <w:top w:val="none" w:sz="0" w:space="0" w:color="auto"/>
            <w:left w:val="none" w:sz="0" w:space="0" w:color="auto"/>
            <w:bottom w:val="none" w:sz="0" w:space="0" w:color="auto"/>
            <w:right w:val="none" w:sz="0" w:space="0" w:color="auto"/>
          </w:divBdr>
        </w:div>
      </w:divsChild>
    </w:div>
    <w:div w:id="1069382425">
      <w:bodyDiv w:val="1"/>
      <w:marLeft w:val="0"/>
      <w:marRight w:val="0"/>
      <w:marTop w:val="0"/>
      <w:marBottom w:val="0"/>
      <w:divBdr>
        <w:top w:val="none" w:sz="0" w:space="0" w:color="auto"/>
        <w:left w:val="none" w:sz="0" w:space="0" w:color="auto"/>
        <w:bottom w:val="none" w:sz="0" w:space="0" w:color="auto"/>
        <w:right w:val="none" w:sz="0" w:space="0" w:color="auto"/>
      </w:divBdr>
    </w:div>
    <w:div w:id="1086339211">
      <w:bodyDiv w:val="1"/>
      <w:marLeft w:val="0"/>
      <w:marRight w:val="0"/>
      <w:marTop w:val="0"/>
      <w:marBottom w:val="0"/>
      <w:divBdr>
        <w:top w:val="none" w:sz="0" w:space="0" w:color="auto"/>
        <w:left w:val="none" w:sz="0" w:space="0" w:color="auto"/>
        <w:bottom w:val="none" w:sz="0" w:space="0" w:color="auto"/>
        <w:right w:val="none" w:sz="0" w:space="0" w:color="auto"/>
      </w:divBdr>
      <w:divsChild>
        <w:div w:id="107895926">
          <w:marLeft w:val="547"/>
          <w:marRight w:val="0"/>
          <w:marTop w:val="120"/>
          <w:marBottom w:val="0"/>
          <w:divBdr>
            <w:top w:val="none" w:sz="0" w:space="0" w:color="auto"/>
            <w:left w:val="none" w:sz="0" w:space="0" w:color="auto"/>
            <w:bottom w:val="none" w:sz="0" w:space="0" w:color="auto"/>
            <w:right w:val="none" w:sz="0" w:space="0" w:color="auto"/>
          </w:divBdr>
        </w:div>
        <w:div w:id="802306896">
          <w:marLeft w:val="547"/>
          <w:marRight w:val="0"/>
          <w:marTop w:val="120"/>
          <w:marBottom w:val="0"/>
          <w:divBdr>
            <w:top w:val="none" w:sz="0" w:space="0" w:color="auto"/>
            <w:left w:val="none" w:sz="0" w:space="0" w:color="auto"/>
            <w:bottom w:val="none" w:sz="0" w:space="0" w:color="auto"/>
            <w:right w:val="none" w:sz="0" w:space="0" w:color="auto"/>
          </w:divBdr>
        </w:div>
        <w:div w:id="901134351">
          <w:marLeft w:val="547"/>
          <w:marRight w:val="0"/>
          <w:marTop w:val="120"/>
          <w:marBottom w:val="0"/>
          <w:divBdr>
            <w:top w:val="none" w:sz="0" w:space="0" w:color="auto"/>
            <w:left w:val="none" w:sz="0" w:space="0" w:color="auto"/>
            <w:bottom w:val="none" w:sz="0" w:space="0" w:color="auto"/>
            <w:right w:val="none" w:sz="0" w:space="0" w:color="auto"/>
          </w:divBdr>
        </w:div>
        <w:div w:id="1085689640">
          <w:marLeft w:val="547"/>
          <w:marRight w:val="0"/>
          <w:marTop w:val="120"/>
          <w:marBottom w:val="0"/>
          <w:divBdr>
            <w:top w:val="none" w:sz="0" w:space="0" w:color="auto"/>
            <w:left w:val="none" w:sz="0" w:space="0" w:color="auto"/>
            <w:bottom w:val="none" w:sz="0" w:space="0" w:color="auto"/>
            <w:right w:val="none" w:sz="0" w:space="0" w:color="auto"/>
          </w:divBdr>
        </w:div>
        <w:div w:id="1650014201">
          <w:marLeft w:val="547"/>
          <w:marRight w:val="0"/>
          <w:marTop w:val="120"/>
          <w:marBottom w:val="0"/>
          <w:divBdr>
            <w:top w:val="none" w:sz="0" w:space="0" w:color="auto"/>
            <w:left w:val="none" w:sz="0" w:space="0" w:color="auto"/>
            <w:bottom w:val="none" w:sz="0" w:space="0" w:color="auto"/>
            <w:right w:val="none" w:sz="0" w:space="0" w:color="auto"/>
          </w:divBdr>
        </w:div>
        <w:div w:id="1664698292">
          <w:marLeft w:val="547"/>
          <w:marRight w:val="0"/>
          <w:marTop w:val="120"/>
          <w:marBottom w:val="0"/>
          <w:divBdr>
            <w:top w:val="none" w:sz="0" w:space="0" w:color="auto"/>
            <w:left w:val="none" w:sz="0" w:space="0" w:color="auto"/>
            <w:bottom w:val="none" w:sz="0" w:space="0" w:color="auto"/>
            <w:right w:val="none" w:sz="0" w:space="0" w:color="auto"/>
          </w:divBdr>
        </w:div>
        <w:div w:id="1730569231">
          <w:marLeft w:val="547"/>
          <w:marRight w:val="0"/>
          <w:marTop w:val="120"/>
          <w:marBottom w:val="0"/>
          <w:divBdr>
            <w:top w:val="none" w:sz="0" w:space="0" w:color="auto"/>
            <w:left w:val="none" w:sz="0" w:space="0" w:color="auto"/>
            <w:bottom w:val="none" w:sz="0" w:space="0" w:color="auto"/>
            <w:right w:val="none" w:sz="0" w:space="0" w:color="auto"/>
          </w:divBdr>
        </w:div>
        <w:div w:id="2076970103">
          <w:marLeft w:val="547"/>
          <w:marRight w:val="0"/>
          <w:marTop w:val="120"/>
          <w:marBottom w:val="0"/>
          <w:divBdr>
            <w:top w:val="none" w:sz="0" w:space="0" w:color="auto"/>
            <w:left w:val="none" w:sz="0" w:space="0" w:color="auto"/>
            <w:bottom w:val="none" w:sz="0" w:space="0" w:color="auto"/>
            <w:right w:val="none" w:sz="0" w:space="0" w:color="auto"/>
          </w:divBdr>
        </w:div>
      </w:divsChild>
    </w:div>
    <w:div w:id="1108810728">
      <w:bodyDiv w:val="1"/>
      <w:marLeft w:val="0"/>
      <w:marRight w:val="0"/>
      <w:marTop w:val="0"/>
      <w:marBottom w:val="0"/>
      <w:divBdr>
        <w:top w:val="none" w:sz="0" w:space="0" w:color="auto"/>
        <w:left w:val="none" w:sz="0" w:space="0" w:color="auto"/>
        <w:bottom w:val="none" w:sz="0" w:space="0" w:color="auto"/>
        <w:right w:val="none" w:sz="0" w:space="0" w:color="auto"/>
      </w:divBdr>
    </w:div>
    <w:div w:id="1142429167">
      <w:bodyDiv w:val="1"/>
      <w:marLeft w:val="0"/>
      <w:marRight w:val="0"/>
      <w:marTop w:val="0"/>
      <w:marBottom w:val="0"/>
      <w:divBdr>
        <w:top w:val="none" w:sz="0" w:space="0" w:color="auto"/>
        <w:left w:val="none" w:sz="0" w:space="0" w:color="auto"/>
        <w:bottom w:val="none" w:sz="0" w:space="0" w:color="auto"/>
        <w:right w:val="none" w:sz="0" w:space="0" w:color="auto"/>
      </w:divBdr>
      <w:divsChild>
        <w:div w:id="113986857">
          <w:marLeft w:val="446"/>
          <w:marRight w:val="0"/>
          <w:marTop w:val="0"/>
          <w:marBottom w:val="0"/>
          <w:divBdr>
            <w:top w:val="none" w:sz="0" w:space="0" w:color="auto"/>
            <w:left w:val="none" w:sz="0" w:space="0" w:color="auto"/>
            <w:bottom w:val="none" w:sz="0" w:space="0" w:color="auto"/>
            <w:right w:val="none" w:sz="0" w:space="0" w:color="auto"/>
          </w:divBdr>
        </w:div>
      </w:divsChild>
    </w:div>
    <w:div w:id="1175917958">
      <w:bodyDiv w:val="1"/>
      <w:marLeft w:val="0"/>
      <w:marRight w:val="0"/>
      <w:marTop w:val="0"/>
      <w:marBottom w:val="0"/>
      <w:divBdr>
        <w:top w:val="none" w:sz="0" w:space="0" w:color="auto"/>
        <w:left w:val="none" w:sz="0" w:space="0" w:color="auto"/>
        <w:bottom w:val="none" w:sz="0" w:space="0" w:color="auto"/>
        <w:right w:val="none" w:sz="0" w:space="0" w:color="auto"/>
      </w:divBdr>
      <w:divsChild>
        <w:div w:id="38863900">
          <w:marLeft w:val="1354"/>
          <w:marRight w:val="0"/>
          <w:marTop w:val="0"/>
          <w:marBottom w:val="0"/>
          <w:divBdr>
            <w:top w:val="none" w:sz="0" w:space="0" w:color="auto"/>
            <w:left w:val="none" w:sz="0" w:space="0" w:color="auto"/>
            <w:bottom w:val="none" w:sz="0" w:space="0" w:color="auto"/>
            <w:right w:val="none" w:sz="0" w:space="0" w:color="auto"/>
          </w:divBdr>
        </w:div>
        <w:div w:id="167255554">
          <w:marLeft w:val="547"/>
          <w:marRight w:val="0"/>
          <w:marTop w:val="0"/>
          <w:marBottom w:val="0"/>
          <w:divBdr>
            <w:top w:val="none" w:sz="0" w:space="0" w:color="auto"/>
            <w:left w:val="none" w:sz="0" w:space="0" w:color="auto"/>
            <w:bottom w:val="none" w:sz="0" w:space="0" w:color="auto"/>
            <w:right w:val="none" w:sz="0" w:space="0" w:color="auto"/>
          </w:divBdr>
        </w:div>
        <w:div w:id="323245427">
          <w:marLeft w:val="1354"/>
          <w:marRight w:val="0"/>
          <w:marTop w:val="0"/>
          <w:marBottom w:val="0"/>
          <w:divBdr>
            <w:top w:val="none" w:sz="0" w:space="0" w:color="auto"/>
            <w:left w:val="none" w:sz="0" w:space="0" w:color="auto"/>
            <w:bottom w:val="none" w:sz="0" w:space="0" w:color="auto"/>
            <w:right w:val="none" w:sz="0" w:space="0" w:color="auto"/>
          </w:divBdr>
        </w:div>
        <w:div w:id="432286196">
          <w:marLeft w:val="1354"/>
          <w:marRight w:val="0"/>
          <w:marTop w:val="0"/>
          <w:marBottom w:val="0"/>
          <w:divBdr>
            <w:top w:val="none" w:sz="0" w:space="0" w:color="auto"/>
            <w:left w:val="none" w:sz="0" w:space="0" w:color="auto"/>
            <w:bottom w:val="none" w:sz="0" w:space="0" w:color="auto"/>
            <w:right w:val="none" w:sz="0" w:space="0" w:color="auto"/>
          </w:divBdr>
        </w:div>
        <w:div w:id="520822255">
          <w:marLeft w:val="1354"/>
          <w:marRight w:val="0"/>
          <w:marTop w:val="0"/>
          <w:marBottom w:val="0"/>
          <w:divBdr>
            <w:top w:val="none" w:sz="0" w:space="0" w:color="auto"/>
            <w:left w:val="none" w:sz="0" w:space="0" w:color="auto"/>
            <w:bottom w:val="none" w:sz="0" w:space="0" w:color="auto"/>
            <w:right w:val="none" w:sz="0" w:space="0" w:color="auto"/>
          </w:divBdr>
        </w:div>
        <w:div w:id="640115546">
          <w:marLeft w:val="1354"/>
          <w:marRight w:val="0"/>
          <w:marTop w:val="0"/>
          <w:marBottom w:val="0"/>
          <w:divBdr>
            <w:top w:val="none" w:sz="0" w:space="0" w:color="auto"/>
            <w:left w:val="none" w:sz="0" w:space="0" w:color="auto"/>
            <w:bottom w:val="none" w:sz="0" w:space="0" w:color="auto"/>
            <w:right w:val="none" w:sz="0" w:space="0" w:color="auto"/>
          </w:divBdr>
        </w:div>
        <w:div w:id="839732675">
          <w:marLeft w:val="1354"/>
          <w:marRight w:val="0"/>
          <w:marTop w:val="0"/>
          <w:marBottom w:val="0"/>
          <w:divBdr>
            <w:top w:val="none" w:sz="0" w:space="0" w:color="auto"/>
            <w:left w:val="none" w:sz="0" w:space="0" w:color="auto"/>
            <w:bottom w:val="none" w:sz="0" w:space="0" w:color="auto"/>
            <w:right w:val="none" w:sz="0" w:space="0" w:color="auto"/>
          </w:divBdr>
        </w:div>
        <w:div w:id="926110389">
          <w:marLeft w:val="1354"/>
          <w:marRight w:val="0"/>
          <w:marTop w:val="0"/>
          <w:marBottom w:val="0"/>
          <w:divBdr>
            <w:top w:val="none" w:sz="0" w:space="0" w:color="auto"/>
            <w:left w:val="none" w:sz="0" w:space="0" w:color="auto"/>
            <w:bottom w:val="none" w:sz="0" w:space="0" w:color="auto"/>
            <w:right w:val="none" w:sz="0" w:space="0" w:color="auto"/>
          </w:divBdr>
        </w:div>
        <w:div w:id="1192301872">
          <w:marLeft w:val="1354"/>
          <w:marRight w:val="0"/>
          <w:marTop w:val="0"/>
          <w:marBottom w:val="0"/>
          <w:divBdr>
            <w:top w:val="none" w:sz="0" w:space="0" w:color="auto"/>
            <w:left w:val="none" w:sz="0" w:space="0" w:color="auto"/>
            <w:bottom w:val="none" w:sz="0" w:space="0" w:color="auto"/>
            <w:right w:val="none" w:sz="0" w:space="0" w:color="auto"/>
          </w:divBdr>
        </w:div>
        <w:div w:id="1261332102">
          <w:marLeft w:val="1354"/>
          <w:marRight w:val="0"/>
          <w:marTop w:val="0"/>
          <w:marBottom w:val="0"/>
          <w:divBdr>
            <w:top w:val="none" w:sz="0" w:space="0" w:color="auto"/>
            <w:left w:val="none" w:sz="0" w:space="0" w:color="auto"/>
            <w:bottom w:val="none" w:sz="0" w:space="0" w:color="auto"/>
            <w:right w:val="none" w:sz="0" w:space="0" w:color="auto"/>
          </w:divBdr>
        </w:div>
        <w:div w:id="1483429378">
          <w:marLeft w:val="547"/>
          <w:marRight w:val="0"/>
          <w:marTop w:val="0"/>
          <w:marBottom w:val="0"/>
          <w:divBdr>
            <w:top w:val="none" w:sz="0" w:space="0" w:color="auto"/>
            <w:left w:val="none" w:sz="0" w:space="0" w:color="auto"/>
            <w:bottom w:val="none" w:sz="0" w:space="0" w:color="auto"/>
            <w:right w:val="none" w:sz="0" w:space="0" w:color="auto"/>
          </w:divBdr>
        </w:div>
        <w:div w:id="1588005274">
          <w:marLeft w:val="1354"/>
          <w:marRight w:val="0"/>
          <w:marTop w:val="0"/>
          <w:marBottom w:val="0"/>
          <w:divBdr>
            <w:top w:val="none" w:sz="0" w:space="0" w:color="auto"/>
            <w:left w:val="none" w:sz="0" w:space="0" w:color="auto"/>
            <w:bottom w:val="none" w:sz="0" w:space="0" w:color="auto"/>
            <w:right w:val="none" w:sz="0" w:space="0" w:color="auto"/>
          </w:divBdr>
        </w:div>
        <w:div w:id="1782068148">
          <w:marLeft w:val="1354"/>
          <w:marRight w:val="0"/>
          <w:marTop w:val="0"/>
          <w:marBottom w:val="0"/>
          <w:divBdr>
            <w:top w:val="none" w:sz="0" w:space="0" w:color="auto"/>
            <w:left w:val="none" w:sz="0" w:space="0" w:color="auto"/>
            <w:bottom w:val="none" w:sz="0" w:space="0" w:color="auto"/>
            <w:right w:val="none" w:sz="0" w:space="0" w:color="auto"/>
          </w:divBdr>
        </w:div>
        <w:div w:id="1954239778">
          <w:marLeft w:val="1354"/>
          <w:marRight w:val="0"/>
          <w:marTop w:val="0"/>
          <w:marBottom w:val="0"/>
          <w:divBdr>
            <w:top w:val="none" w:sz="0" w:space="0" w:color="auto"/>
            <w:left w:val="none" w:sz="0" w:space="0" w:color="auto"/>
            <w:bottom w:val="none" w:sz="0" w:space="0" w:color="auto"/>
            <w:right w:val="none" w:sz="0" w:space="0" w:color="auto"/>
          </w:divBdr>
        </w:div>
        <w:div w:id="2026706081">
          <w:marLeft w:val="547"/>
          <w:marRight w:val="0"/>
          <w:marTop w:val="0"/>
          <w:marBottom w:val="0"/>
          <w:divBdr>
            <w:top w:val="none" w:sz="0" w:space="0" w:color="auto"/>
            <w:left w:val="none" w:sz="0" w:space="0" w:color="auto"/>
            <w:bottom w:val="none" w:sz="0" w:space="0" w:color="auto"/>
            <w:right w:val="none" w:sz="0" w:space="0" w:color="auto"/>
          </w:divBdr>
        </w:div>
      </w:divsChild>
    </w:div>
    <w:div w:id="1224758379">
      <w:bodyDiv w:val="1"/>
      <w:marLeft w:val="0"/>
      <w:marRight w:val="0"/>
      <w:marTop w:val="0"/>
      <w:marBottom w:val="0"/>
      <w:divBdr>
        <w:top w:val="none" w:sz="0" w:space="0" w:color="auto"/>
        <w:left w:val="none" w:sz="0" w:space="0" w:color="auto"/>
        <w:bottom w:val="none" w:sz="0" w:space="0" w:color="auto"/>
        <w:right w:val="none" w:sz="0" w:space="0" w:color="auto"/>
      </w:divBdr>
      <w:divsChild>
        <w:div w:id="237718193">
          <w:marLeft w:val="547"/>
          <w:marRight w:val="0"/>
          <w:marTop w:val="0"/>
          <w:marBottom w:val="0"/>
          <w:divBdr>
            <w:top w:val="none" w:sz="0" w:space="0" w:color="auto"/>
            <w:left w:val="none" w:sz="0" w:space="0" w:color="auto"/>
            <w:bottom w:val="none" w:sz="0" w:space="0" w:color="auto"/>
            <w:right w:val="none" w:sz="0" w:space="0" w:color="auto"/>
          </w:divBdr>
        </w:div>
        <w:div w:id="503282001">
          <w:marLeft w:val="547"/>
          <w:marRight w:val="0"/>
          <w:marTop w:val="0"/>
          <w:marBottom w:val="0"/>
          <w:divBdr>
            <w:top w:val="none" w:sz="0" w:space="0" w:color="auto"/>
            <w:left w:val="none" w:sz="0" w:space="0" w:color="auto"/>
            <w:bottom w:val="none" w:sz="0" w:space="0" w:color="auto"/>
            <w:right w:val="none" w:sz="0" w:space="0" w:color="auto"/>
          </w:divBdr>
        </w:div>
        <w:div w:id="639454786">
          <w:marLeft w:val="547"/>
          <w:marRight w:val="0"/>
          <w:marTop w:val="0"/>
          <w:marBottom w:val="0"/>
          <w:divBdr>
            <w:top w:val="none" w:sz="0" w:space="0" w:color="auto"/>
            <w:left w:val="none" w:sz="0" w:space="0" w:color="auto"/>
            <w:bottom w:val="none" w:sz="0" w:space="0" w:color="auto"/>
            <w:right w:val="none" w:sz="0" w:space="0" w:color="auto"/>
          </w:divBdr>
        </w:div>
      </w:divsChild>
    </w:div>
    <w:div w:id="1245918366">
      <w:bodyDiv w:val="1"/>
      <w:marLeft w:val="0"/>
      <w:marRight w:val="0"/>
      <w:marTop w:val="0"/>
      <w:marBottom w:val="0"/>
      <w:divBdr>
        <w:top w:val="none" w:sz="0" w:space="0" w:color="auto"/>
        <w:left w:val="none" w:sz="0" w:space="0" w:color="auto"/>
        <w:bottom w:val="none" w:sz="0" w:space="0" w:color="auto"/>
        <w:right w:val="none" w:sz="0" w:space="0" w:color="auto"/>
      </w:divBdr>
      <w:divsChild>
        <w:div w:id="853113434">
          <w:marLeft w:val="547"/>
          <w:marRight w:val="0"/>
          <w:marTop w:val="0"/>
          <w:marBottom w:val="0"/>
          <w:divBdr>
            <w:top w:val="none" w:sz="0" w:space="0" w:color="auto"/>
            <w:left w:val="none" w:sz="0" w:space="0" w:color="auto"/>
            <w:bottom w:val="none" w:sz="0" w:space="0" w:color="auto"/>
            <w:right w:val="none" w:sz="0" w:space="0" w:color="auto"/>
          </w:divBdr>
        </w:div>
        <w:div w:id="1290430873">
          <w:marLeft w:val="547"/>
          <w:marRight w:val="0"/>
          <w:marTop w:val="0"/>
          <w:marBottom w:val="0"/>
          <w:divBdr>
            <w:top w:val="none" w:sz="0" w:space="0" w:color="auto"/>
            <w:left w:val="none" w:sz="0" w:space="0" w:color="auto"/>
            <w:bottom w:val="none" w:sz="0" w:space="0" w:color="auto"/>
            <w:right w:val="none" w:sz="0" w:space="0" w:color="auto"/>
          </w:divBdr>
        </w:div>
        <w:div w:id="2071803332">
          <w:marLeft w:val="547"/>
          <w:marRight w:val="0"/>
          <w:marTop w:val="0"/>
          <w:marBottom w:val="0"/>
          <w:divBdr>
            <w:top w:val="none" w:sz="0" w:space="0" w:color="auto"/>
            <w:left w:val="none" w:sz="0" w:space="0" w:color="auto"/>
            <w:bottom w:val="none" w:sz="0" w:space="0" w:color="auto"/>
            <w:right w:val="none" w:sz="0" w:space="0" w:color="auto"/>
          </w:divBdr>
        </w:div>
      </w:divsChild>
    </w:div>
    <w:div w:id="1257253135">
      <w:bodyDiv w:val="1"/>
      <w:marLeft w:val="0"/>
      <w:marRight w:val="0"/>
      <w:marTop w:val="0"/>
      <w:marBottom w:val="0"/>
      <w:divBdr>
        <w:top w:val="none" w:sz="0" w:space="0" w:color="auto"/>
        <w:left w:val="none" w:sz="0" w:space="0" w:color="auto"/>
        <w:bottom w:val="none" w:sz="0" w:space="0" w:color="auto"/>
        <w:right w:val="none" w:sz="0" w:space="0" w:color="auto"/>
      </w:divBdr>
      <w:divsChild>
        <w:div w:id="6518252">
          <w:marLeft w:val="547"/>
          <w:marRight w:val="0"/>
          <w:marTop w:val="200"/>
          <w:marBottom w:val="0"/>
          <w:divBdr>
            <w:top w:val="none" w:sz="0" w:space="0" w:color="auto"/>
            <w:left w:val="none" w:sz="0" w:space="0" w:color="auto"/>
            <w:bottom w:val="none" w:sz="0" w:space="0" w:color="auto"/>
            <w:right w:val="none" w:sz="0" w:space="0" w:color="auto"/>
          </w:divBdr>
        </w:div>
        <w:div w:id="14313893">
          <w:marLeft w:val="547"/>
          <w:marRight w:val="0"/>
          <w:marTop w:val="200"/>
          <w:marBottom w:val="0"/>
          <w:divBdr>
            <w:top w:val="none" w:sz="0" w:space="0" w:color="auto"/>
            <w:left w:val="none" w:sz="0" w:space="0" w:color="auto"/>
            <w:bottom w:val="none" w:sz="0" w:space="0" w:color="auto"/>
            <w:right w:val="none" w:sz="0" w:space="0" w:color="auto"/>
          </w:divBdr>
        </w:div>
        <w:div w:id="316809489">
          <w:marLeft w:val="547"/>
          <w:marRight w:val="0"/>
          <w:marTop w:val="200"/>
          <w:marBottom w:val="0"/>
          <w:divBdr>
            <w:top w:val="none" w:sz="0" w:space="0" w:color="auto"/>
            <w:left w:val="none" w:sz="0" w:space="0" w:color="auto"/>
            <w:bottom w:val="none" w:sz="0" w:space="0" w:color="auto"/>
            <w:right w:val="none" w:sz="0" w:space="0" w:color="auto"/>
          </w:divBdr>
        </w:div>
        <w:div w:id="405689455">
          <w:marLeft w:val="547"/>
          <w:marRight w:val="0"/>
          <w:marTop w:val="200"/>
          <w:marBottom w:val="0"/>
          <w:divBdr>
            <w:top w:val="none" w:sz="0" w:space="0" w:color="auto"/>
            <w:left w:val="none" w:sz="0" w:space="0" w:color="auto"/>
            <w:bottom w:val="none" w:sz="0" w:space="0" w:color="auto"/>
            <w:right w:val="none" w:sz="0" w:space="0" w:color="auto"/>
          </w:divBdr>
        </w:div>
        <w:div w:id="896627870">
          <w:marLeft w:val="547"/>
          <w:marRight w:val="0"/>
          <w:marTop w:val="200"/>
          <w:marBottom w:val="0"/>
          <w:divBdr>
            <w:top w:val="none" w:sz="0" w:space="0" w:color="auto"/>
            <w:left w:val="none" w:sz="0" w:space="0" w:color="auto"/>
            <w:bottom w:val="none" w:sz="0" w:space="0" w:color="auto"/>
            <w:right w:val="none" w:sz="0" w:space="0" w:color="auto"/>
          </w:divBdr>
        </w:div>
        <w:div w:id="1123186418">
          <w:marLeft w:val="547"/>
          <w:marRight w:val="0"/>
          <w:marTop w:val="200"/>
          <w:marBottom w:val="0"/>
          <w:divBdr>
            <w:top w:val="none" w:sz="0" w:space="0" w:color="auto"/>
            <w:left w:val="none" w:sz="0" w:space="0" w:color="auto"/>
            <w:bottom w:val="none" w:sz="0" w:space="0" w:color="auto"/>
            <w:right w:val="none" w:sz="0" w:space="0" w:color="auto"/>
          </w:divBdr>
        </w:div>
        <w:div w:id="1197305057">
          <w:marLeft w:val="547"/>
          <w:marRight w:val="0"/>
          <w:marTop w:val="200"/>
          <w:marBottom w:val="0"/>
          <w:divBdr>
            <w:top w:val="none" w:sz="0" w:space="0" w:color="auto"/>
            <w:left w:val="none" w:sz="0" w:space="0" w:color="auto"/>
            <w:bottom w:val="none" w:sz="0" w:space="0" w:color="auto"/>
            <w:right w:val="none" w:sz="0" w:space="0" w:color="auto"/>
          </w:divBdr>
        </w:div>
        <w:div w:id="1579630357">
          <w:marLeft w:val="547"/>
          <w:marRight w:val="0"/>
          <w:marTop w:val="200"/>
          <w:marBottom w:val="0"/>
          <w:divBdr>
            <w:top w:val="none" w:sz="0" w:space="0" w:color="auto"/>
            <w:left w:val="none" w:sz="0" w:space="0" w:color="auto"/>
            <w:bottom w:val="none" w:sz="0" w:space="0" w:color="auto"/>
            <w:right w:val="none" w:sz="0" w:space="0" w:color="auto"/>
          </w:divBdr>
        </w:div>
        <w:div w:id="1807770971">
          <w:marLeft w:val="547"/>
          <w:marRight w:val="0"/>
          <w:marTop w:val="200"/>
          <w:marBottom w:val="0"/>
          <w:divBdr>
            <w:top w:val="none" w:sz="0" w:space="0" w:color="auto"/>
            <w:left w:val="none" w:sz="0" w:space="0" w:color="auto"/>
            <w:bottom w:val="none" w:sz="0" w:space="0" w:color="auto"/>
            <w:right w:val="none" w:sz="0" w:space="0" w:color="auto"/>
          </w:divBdr>
        </w:div>
      </w:divsChild>
    </w:div>
    <w:div w:id="1294100179">
      <w:bodyDiv w:val="1"/>
      <w:marLeft w:val="0"/>
      <w:marRight w:val="0"/>
      <w:marTop w:val="0"/>
      <w:marBottom w:val="0"/>
      <w:divBdr>
        <w:top w:val="none" w:sz="0" w:space="0" w:color="auto"/>
        <w:left w:val="none" w:sz="0" w:space="0" w:color="auto"/>
        <w:bottom w:val="none" w:sz="0" w:space="0" w:color="auto"/>
        <w:right w:val="none" w:sz="0" w:space="0" w:color="auto"/>
      </w:divBdr>
    </w:div>
    <w:div w:id="1298072697">
      <w:bodyDiv w:val="1"/>
      <w:marLeft w:val="0"/>
      <w:marRight w:val="0"/>
      <w:marTop w:val="0"/>
      <w:marBottom w:val="0"/>
      <w:divBdr>
        <w:top w:val="none" w:sz="0" w:space="0" w:color="auto"/>
        <w:left w:val="none" w:sz="0" w:space="0" w:color="auto"/>
        <w:bottom w:val="none" w:sz="0" w:space="0" w:color="auto"/>
        <w:right w:val="none" w:sz="0" w:space="0" w:color="auto"/>
      </w:divBdr>
      <w:divsChild>
        <w:div w:id="194468823">
          <w:marLeft w:val="446"/>
          <w:marRight w:val="0"/>
          <w:marTop w:val="0"/>
          <w:marBottom w:val="0"/>
          <w:divBdr>
            <w:top w:val="none" w:sz="0" w:space="0" w:color="auto"/>
            <w:left w:val="none" w:sz="0" w:space="0" w:color="auto"/>
            <w:bottom w:val="none" w:sz="0" w:space="0" w:color="auto"/>
            <w:right w:val="none" w:sz="0" w:space="0" w:color="auto"/>
          </w:divBdr>
        </w:div>
        <w:div w:id="437218029">
          <w:marLeft w:val="446"/>
          <w:marRight w:val="0"/>
          <w:marTop w:val="0"/>
          <w:marBottom w:val="0"/>
          <w:divBdr>
            <w:top w:val="none" w:sz="0" w:space="0" w:color="auto"/>
            <w:left w:val="none" w:sz="0" w:space="0" w:color="auto"/>
            <w:bottom w:val="none" w:sz="0" w:space="0" w:color="auto"/>
            <w:right w:val="none" w:sz="0" w:space="0" w:color="auto"/>
          </w:divBdr>
        </w:div>
        <w:div w:id="1017848946">
          <w:marLeft w:val="446"/>
          <w:marRight w:val="0"/>
          <w:marTop w:val="0"/>
          <w:marBottom w:val="0"/>
          <w:divBdr>
            <w:top w:val="none" w:sz="0" w:space="0" w:color="auto"/>
            <w:left w:val="none" w:sz="0" w:space="0" w:color="auto"/>
            <w:bottom w:val="none" w:sz="0" w:space="0" w:color="auto"/>
            <w:right w:val="none" w:sz="0" w:space="0" w:color="auto"/>
          </w:divBdr>
        </w:div>
      </w:divsChild>
    </w:div>
    <w:div w:id="1316686134">
      <w:bodyDiv w:val="1"/>
      <w:marLeft w:val="0"/>
      <w:marRight w:val="0"/>
      <w:marTop w:val="0"/>
      <w:marBottom w:val="0"/>
      <w:divBdr>
        <w:top w:val="none" w:sz="0" w:space="0" w:color="auto"/>
        <w:left w:val="none" w:sz="0" w:space="0" w:color="auto"/>
        <w:bottom w:val="none" w:sz="0" w:space="0" w:color="auto"/>
        <w:right w:val="none" w:sz="0" w:space="0" w:color="auto"/>
      </w:divBdr>
      <w:divsChild>
        <w:div w:id="345794050">
          <w:marLeft w:val="446"/>
          <w:marRight w:val="0"/>
          <w:marTop w:val="0"/>
          <w:marBottom w:val="0"/>
          <w:divBdr>
            <w:top w:val="none" w:sz="0" w:space="0" w:color="auto"/>
            <w:left w:val="none" w:sz="0" w:space="0" w:color="auto"/>
            <w:bottom w:val="none" w:sz="0" w:space="0" w:color="auto"/>
            <w:right w:val="none" w:sz="0" w:space="0" w:color="auto"/>
          </w:divBdr>
        </w:div>
        <w:div w:id="800927897">
          <w:marLeft w:val="446"/>
          <w:marRight w:val="0"/>
          <w:marTop w:val="0"/>
          <w:marBottom w:val="0"/>
          <w:divBdr>
            <w:top w:val="none" w:sz="0" w:space="0" w:color="auto"/>
            <w:left w:val="none" w:sz="0" w:space="0" w:color="auto"/>
            <w:bottom w:val="none" w:sz="0" w:space="0" w:color="auto"/>
            <w:right w:val="none" w:sz="0" w:space="0" w:color="auto"/>
          </w:divBdr>
        </w:div>
        <w:div w:id="1873224391">
          <w:marLeft w:val="446"/>
          <w:marRight w:val="0"/>
          <w:marTop w:val="0"/>
          <w:marBottom w:val="0"/>
          <w:divBdr>
            <w:top w:val="none" w:sz="0" w:space="0" w:color="auto"/>
            <w:left w:val="none" w:sz="0" w:space="0" w:color="auto"/>
            <w:bottom w:val="none" w:sz="0" w:space="0" w:color="auto"/>
            <w:right w:val="none" w:sz="0" w:space="0" w:color="auto"/>
          </w:divBdr>
        </w:div>
      </w:divsChild>
    </w:div>
    <w:div w:id="1330601224">
      <w:bodyDiv w:val="1"/>
      <w:marLeft w:val="0"/>
      <w:marRight w:val="0"/>
      <w:marTop w:val="0"/>
      <w:marBottom w:val="0"/>
      <w:divBdr>
        <w:top w:val="none" w:sz="0" w:space="0" w:color="auto"/>
        <w:left w:val="none" w:sz="0" w:space="0" w:color="auto"/>
        <w:bottom w:val="none" w:sz="0" w:space="0" w:color="auto"/>
        <w:right w:val="none" w:sz="0" w:space="0" w:color="auto"/>
      </w:divBdr>
    </w:div>
    <w:div w:id="1335255804">
      <w:bodyDiv w:val="1"/>
      <w:marLeft w:val="0"/>
      <w:marRight w:val="0"/>
      <w:marTop w:val="0"/>
      <w:marBottom w:val="0"/>
      <w:divBdr>
        <w:top w:val="none" w:sz="0" w:space="0" w:color="auto"/>
        <w:left w:val="none" w:sz="0" w:space="0" w:color="auto"/>
        <w:bottom w:val="none" w:sz="0" w:space="0" w:color="auto"/>
        <w:right w:val="none" w:sz="0" w:space="0" w:color="auto"/>
      </w:divBdr>
    </w:div>
    <w:div w:id="1345209470">
      <w:bodyDiv w:val="1"/>
      <w:marLeft w:val="0"/>
      <w:marRight w:val="0"/>
      <w:marTop w:val="0"/>
      <w:marBottom w:val="0"/>
      <w:divBdr>
        <w:top w:val="none" w:sz="0" w:space="0" w:color="auto"/>
        <w:left w:val="none" w:sz="0" w:space="0" w:color="auto"/>
        <w:bottom w:val="none" w:sz="0" w:space="0" w:color="auto"/>
        <w:right w:val="none" w:sz="0" w:space="0" w:color="auto"/>
      </w:divBdr>
      <w:divsChild>
        <w:div w:id="1989702793">
          <w:marLeft w:val="446"/>
          <w:marRight w:val="0"/>
          <w:marTop w:val="0"/>
          <w:marBottom w:val="0"/>
          <w:divBdr>
            <w:top w:val="none" w:sz="0" w:space="0" w:color="auto"/>
            <w:left w:val="none" w:sz="0" w:space="0" w:color="auto"/>
            <w:bottom w:val="none" w:sz="0" w:space="0" w:color="auto"/>
            <w:right w:val="none" w:sz="0" w:space="0" w:color="auto"/>
          </w:divBdr>
        </w:div>
      </w:divsChild>
    </w:div>
    <w:div w:id="1354261860">
      <w:bodyDiv w:val="1"/>
      <w:marLeft w:val="0"/>
      <w:marRight w:val="0"/>
      <w:marTop w:val="0"/>
      <w:marBottom w:val="0"/>
      <w:divBdr>
        <w:top w:val="none" w:sz="0" w:space="0" w:color="auto"/>
        <w:left w:val="none" w:sz="0" w:space="0" w:color="auto"/>
        <w:bottom w:val="none" w:sz="0" w:space="0" w:color="auto"/>
        <w:right w:val="none" w:sz="0" w:space="0" w:color="auto"/>
      </w:divBdr>
    </w:div>
    <w:div w:id="1356688636">
      <w:bodyDiv w:val="1"/>
      <w:marLeft w:val="0"/>
      <w:marRight w:val="0"/>
      <w:marTop w:val="0"/>
      <w:marBottom w:val="0"/>
      <w:divBdr>
        <w:top w:val="none" w:sz="0" w:space="0" w:color="auto"/>
        <w:left w:val="none" w:sz="0" w:space="0" w:color="auto"/>
        <w:bottom w:val="none" w:sz="0" w:space="0" w:color="auto"/>
        <w:right w:val="none" w:sz="0" w:space="0" w:color="auto"/>
      </w:divBdr>
      <w:divsChild>
        <w:div w:id="17853650">
          <w:marLeft w:val="446"/>
          <w:marRight w:val="0"/>
          <w:marTop w:val="0"/>
          <w:marBottom w:val="0"/>
          <w:divBdr>
            <w:top w:val="none" w:sz="0" w:space="0" w:color="auto"/>
            <w:left w:val="none" w:sz="0" w:space="0" w:color="auto"/>
            <w:bottom w:val="none" w:sz="0" w:space="0" w:color="auto"/>
            <w:right w:val="none" w:sz="0" w:space="0" w:color="auto"/>
          </w:divBdr>
        </w:div>
        <w:div w:id="1162813950">
          <w:marLeft w:val="446"/>
          <w:marRight w:val="0"/>
          <w:marTop w:val="0"/>
          <w:marBottom w:val="0"/>
          <w:divBdr>
            <w:top w:val="none" w:sz="0" w:space="0" w:color="auto"/>
            <w:left w:val="none" w:sz="0" w:space="0" w:color="auto"/>
            <w:bottom w:val="none" w:sz="0" w:space="0" w:color="auto"/>
            <w:right w:val="none" w:sz="0" w:space="0" w:color="auto"/>
          </w:divBdr>
        </w:div>
        <w:div w:id="1867331440">
          <w:marLeft w:val="446"/>
          <w:marRight w:val="0"/>
          <w:marTop w:val="0"/>
          <w:marBottom w:val="0"/>
          <w:divBdr>
            <w:top w:val="none" w:sz="0" w:space="0" w:color="auto"/>
            <w:left w:val="none" w:sz="0" w:space="0" w:color="auto"/>
            <w:bottom w:val="none" w:sz="0" w:space="0" w:color="auto"/>
            <w:right w:val="none" w:sz="0" w:space="0" w:color="auto"/>
          </w:divBdr>
        </w:div>
      </w:divsChild>
    </w:div>
    <w:div w:id="1370255252">
      <w:bodyDiv w:val="1"/>
      <w:marLeft w:val="0"/>
      <w:marRight w:val="0"/>
      <w:marTop w:val="0"/>
      <w:marBottom w:val="0"/>
      <w:divBdr>
        <w:top w:val="none" w:sz="0" w:space="0" w:color="auto"/>
        <w:left w:val="none" w:sz="0" w:space="0" w:color="auto"/>
        <w:bottom w:val="none" w:sz="0" w:space="0" w:color="auto"/>
        <w:right w:val="none" w:sz="0" w:space="0" w:color="auto"/>
      </w:divBdr>
      <w:divsChild>
        <w:div w:id="457846326">
          <w:marLeft w:val="1987"/>
          <w:marRight w:val="0"/>
          <w:marTop w:val="0"/>
          <w:marBottom w:val="0"/>
          <w:divBdr>
            <w:top w:val="none" w:sz="0" w:space="0" w:color="auto"/>
            <w:left w:val="none" w:sz="0" w:space="0" w:color="auto"/>
            <w:bottom w:val="none" w:sz="0" w:space="0" w:color="auto"/>
            <w:right w:val="none" w:sz="0" w:space="0" w:color="auto"/>
          </w:divBdr>
        </w:div>
        <w:div w:id="733430471">
          <w:marLeft w:val="1267"/>
          <w:marRight w:val="0"/>
          <w:marTop w:val="0"/>
          <w:marBottom w:val="0"/>
          <w:divBdr>
            <w:top w:val="none" w:sz="0" w:space="0" w:color="auto"/>
            <w:left w:val="none" w:sz="0" w:space="0" w:color="auto"/>
            <w:bottom w:val="none" w:sz="0" w:space="0" w:color="auto"/>
            <w:right w:val="none" w:sz="0" w:space="0" w:color="auto"/>
          </w:divBdr>
        </w:div>
        <w:div w:id="746347279">
          <w:marLeft w:val="1267"/>
          <w:marRight w:val="0"/>
          <w:marTop w:val="0"/>
          <w:marBottom w:val="0"/>
          <w:divBdr>
            <w:top w:val="none" w:sz="0" w:space="0" w:color="auto"/>
            <w:left w:val="none" w:sz="0" w:space="0" w:color="auto"/>
            <w:bottom w:val="none" w:sz="0" w:space="0" w:color="auto"/>
            <w:right w:val="none" w:sz="0" w:space="0" w:color="auto"/>
          </w:divBdr>
        </w:div>
        <w:div w:id="1452432253">
          <w:marLeft w:val="1267"/>
          <w:marRight w:val="0"/>
          <w:marTop w:val="0"/>
          <w:marBottom w:val="0"/>
          <w:divBdr>
            <w:top w:val="none" w:sz="0" w:space="0" w:color="auto"/>
            <w:left w:val="none" w:sz="0" w:space="0" w:color="auto"/>
            <w:bottom w:val="none" w:sz="0" w:space="0" w:color="auto"/>
            <w:right w:val="none" w:sz="0" w:space="0" w:color="auto"/>
          </w:divBdr>
        </w:div>
        <w:div w:id="1452632592">
          <w:marLeft w:val="1987"/>
          <w:marRight w:val="0"/>
          <w:marTop w:val="0"/>
          <w:marBottom w:val="0"/>
          <w:divBdr>
            <w:top w:val="none" w:sz="0" w:space="0" w:color="auto"/>
            <w:left w:val="none" w:sz="0" w:space="0" w:color="auto"/>
            <w:bottom w:val="none" w:sz="0" w:space="0" w:color="auto"/>
            <w:right w:val="none" w:sz="0" w:space="0" w:color="auto"/>
          </w:divBdr>
        </w:div>
        <w:div w:id="1594557162">
          <w:marLeft w:val="1267"/>
          <w:marRight w:val="0"/>
          <w:marTop w:val="0"/>
          <w:marBottom w:val="0"/>
          <w:divBdr>
            <w:top w:val="none" w:sz="0" w:space="0" w:color="auto"/>
            <w:left w:val="none" w:sz="0" w:space="0" w:color="auto"/>
            <w:bottom w:val="none" w:sz="0" w:space="0" w:color="auto"/>
            <w:right w:val="none" w:sz="0" w:space="0" w:color="auto"/>
          </w:divBdr>
        </w:div>
        <w:div w:id="1646157432">
          <w:marLeft w:val="1267"/>
          <w:marRight w:val="0"/>
          <w:marTop w:val="0"/>
          <w:marBottom w:val="0"/>
          <w:divBdr>
            <w:top w:val="none" w:sz="0" w:space="0" w:color="auto"/>
            <w:left w:val="none" w:sz="0" w:space="0" w:color="auto"/>
            <w:bottom w:val="none" w:sz="0" w:space="0" w:color="auto"/>
            <w:right w:val="none" w:sz="0" w:space="0" w:color="auto"/>
          </w:divBdr>
        </w:div>
        <w:div w:id="1676422924">
          <w:marLeft w:val="1987"/>
          <w:marRight w:val="0"/>
          <w:marTop w:val="0"/>
          <w:marBottom w:val="0"/>
          <w:divBdr>
            <w:top w:val="none" w:sz="0" w:space="0" w:color="auto"/>
            <w:left w:val="none" w:sz="0" w:space="0" w:color="auto"/>
            <w:bottom w:val="none" w:sz="0" w:space="0" w:color="auto"/>
            <w:right w:val="none" w:sz="0" w:space="0" w:color="auto"/>
          </w:divBdr>
        </w:div>
        <w:div w:id="1836457634">
          <w:marLeft w:val="1267"/>
          <w:marRight w:val="0"/>
          <w:marTop w:val="0"/>
          <w:marBottom w:val="0"/>
          <w:divBdr>
            <w:top w:val="none" w:sz="0" w:space="0" w:color="auto"/>
            <w:left w:val="none" w:sz="0" w:space="0" w:color="auto"/>
            <w:bottom w:val="none" w:sz="0" w:space="0" w:color="auto"/>
            <w:right w:val="none" w:sz="0" w:space="0" w:color="auto"/>
          </w:divBdr>
        </w:div>
        <w:div w:id="1980184927">
          <w:marLeft w:val="1267"/>
          <w:marRight w:val="0"/>
          <w:marTop w:val="0"/>
          <w:marBottom w:val="0"/>
          <w:divBdr>
            <w:top w:val="none" w:sz="0" w:space="0" w:color="auto"/>
            <w:left w:val="none" w:sz="0" w:space="0" w:color="auto"/>
            <w:bottom w:val="none" w:sz="0" w:space="0" w:color="auto"/>
            <w:right w:val="none" w:sz="0" w:space="0" w:color="auto"/>
          </w:divBdr>
        </w:div>
      </w:divsChild>
    </w:div>
    <w:div w:id="1371347210">
      <w:bodyDiv w:val="1"/>
      <w:marLeft w:val="0"/>
      <w:marRight w:val="0"/>
      <w:marTop w:val="0"/>
      <w:marBottom w:val="0"/>
      <w:divBdr>
        <w:top w:val="none" w:sz="0" w:space="0" w:color="auto"/>
        <w:left w:val="none" w:sz="0" w:space="0" w:color="auto"/>
        <w:bottom w:val="none" w:sz="0" w:space="0" w:color="auto"/>
        <w:right w:val="none" w:sz="0" w:space="0" w:color="auto"/>
      </w:divBdr>
      <w:divsChild>
        <w:div w:id="205069079">
          <w:marLeft w:val="446"/>
          <w:marRight w:val="0"/>
          <w:marTop w:val="0"/>
          <w:marBottom w:val="0"/>
          <w:divBdr>
            <w:top w:val="none" w:sz="0" w:space="0" w:color="auto"/>
            <w:left w:val="none" w:sz="0" w:space="0" w:color="auto"/>
            <w:bottom w:val="none" w:sz="0" w:space="0" w:color="auto"/>
            <w:right w:val="none" w:sz="0" w:space="0" w:color="auto"/>
          </w:divBdr>
        </w:div>
        <w:div w:id="1433281077">
          <w:marLeft w:val="446"/>
          <w:marRight w:val="0"/>
          <w:marTop w:val="0"/>
          <w:marBottom w:val="0"/>
          <w:divBdr>
            <w:top w:val="none" w:sz="0" w:space="0" w:color="auto"/>
            <w:left w:val="none" w:sz="0" w:space="0" w:color="auto"/>
            <w:bottom w:val="none" w:sz="0" w:space="0" w:color="auto"/>
            <w:right w:val="none" w:sz="0" w:space="0" w:color="auto"/>
          </w:divBdr>
        </w:div>
        <w:div w:id="1927111606">
          <w:marLeft w:val="446"/>
          <w:marRight w:val="0"/>
          <w:marTop w:val="0"/>
          <w:marBottom w:val="0"/>
          <w:divBdr>
            <w:top w:val="none" w:sz="0" w:space="0" w:color="auto"/>
            <w:left w:val="none" w:sz="0" w:space="0" w:color="auto"/>
            <w:bottom w:val="none" w:sz="0" w:space="0" w:color="auto"/>
            <w:right w:val="none" w:sz="0" w:space="0" w:color="auto"/>
          </w:divBdr>
        </w:div>
      </w:divsChild>
    </w:div>
    <w:div w:id="1388652216">
      <w:bodyDiv w:val="1"/>
      <w:marLeft w:val="0"/>
      <w:marRight w:val="0"/>
      <w:marTop w:val="0"/>
      <w:marBottom w:val="0"/>
      <w:divBdr>
        <w:top w:val="none" w:sz="0" w:space="0" w:color="auto"/>
        <w:left w:val="none" w:sz="0" w:space="0" w:color="auto"/>
        <w:bottom w:val="none" w:sz="0" w:space="0" w:color="auto"/>
        <w:right w:val="none" w:sz="0" w:space="0" w:color="auto"/>
      </w:divBdr>
      <w:divsChild>
        <w:div w:id="596906538">
          <w:marLeft w:val="446"/>
          <w:marRight w:val="0"/>
          <w:marTop w:val="0"/>
          <w:marBottom w:val="0"/>
          <w:divBdr>
            <w:top w:val="none" w:sz="0" w:space="0" w:color="auto"/>
            <w:left w:val="none" w:sz="0" w:space="0" w:color="auto"/>
            <w:bottom w:val="none" w:sz="0" w:space="0" w:color="auto"/>
            <w:right w:val="none" w:sz="0" w:space="0" w:color="auto"/>
          </w:divBdr>
        </w:div>
        <w:div w:id="1456488141">
          <w:marLeft w:val="446"/>
          <w:marRight w:val="0"/>
          <w:marTop w:val="0"/>
          <w:marBottom w:val="0"/>
          <w:divBdr>
            <w:top w:val="none" w:sz="0" w:space="0" w:color="auto"/>
            <w:left w:val="none" w:sz="0" w:space="0" w:color="auto"/>
            <w:bottom w:val="none" w:sz="0" w:space="0" w:color="auto"/>
            <w:right w:val="none" w:sz="0" w:space="0" w:color="auto"/>
          </w:divBdr>
        </w:div>
      </w:divsChild>
    </w:div>
    <w:div w:id="1391463700">
      <w:bodyDiv w:val="1"/>
      <w:marLeft w:val="0"/>
      <w:marRight w:val="0"/>
      <w:marTop w:val="0"/>
      <w:marBottom w:val="0"/>
      <w:divBdr>
        <w:top w:val="none" w:sz="0" w:space="0" w:color="auto"/>
        <w:left w:val="none" w:sz="0" w:space="0" w:color="auto"/>
        <w:bottom w:val="none" w:sz="0" w:space="0" w:color="auto"/>
        <w:right w:val="none" w:sz="0" w:space="0" w:color="auto"/>
      </w:divBdr>
      <w:divsChild>
        <w:div w:id="424573359">
          <w:marLeft w:val="446"/>
          <w:marRight w:val="0"/>
          <w:marTop w:val="0"/>
          <w:marBottom w:val="0"/>
          <w:divBdr>
            <w:top w:val="none" w:sz="0" w:space="0" w:color="auto"/>
            <w:left w:val="none" w:sz="0" w:space="0" w:color="auto"/>
            <w:bottom w:val="none" w:sz="0" w:space="0" w:color="auto"/>
            <w:right w:val="none" w:sz="0" w:space="0" w:color="auto"/>
          </w:divBdr>
        </w:div>
        <w:div w:id="1685282157">
          <w:marLeft w:val="446"/>
          <w:marRight w:val="0"/>
          <w:marTop w:val="0"/>
          <w:marBottom w:val="0"/>
          <w:divBdr>
            <w:top w:val="none" w:sz="0" w:space="0" w:color="auto"/>
            <w:left w:val="none" w:sz="0" w:space="0" w:color="auto"/>
            <w:bottom w:val="none" w:sz="0" w:space="0" w:color="auto"/>
            <w:right w:val="none" w:sz="0" w:space="0" w:color="auto"/>
          </w:divBdr>
        </w:div>
      </w:divsChild>
    </w:div>
    <w:div w:id="1412433594">
      <w:bodyDiv w:val="1"/>
      <w:marLeft w:val="0"/>
      <w:marRight w:val="0"/>
      <w:marTop w:val="0"/>
      <w:marBottom w:val="0"/>
      <w:divBdr>
        <w:top w:val="none" w:sz="0" w:space="0" w:color="auto"/>
        <w:left w:val="none" w:sz="0" w:space="0" w:color="auto"/>
        <w:bottom w:val="none" w:sz="0" w:space="0" w:color="auto"/>
        <w:right w:val="none" w:sz="0" w:space="0" w:color="auto"/>
      </w:divBdr>
      <w:divsChild>
        <w:div w:id="1942907910">
          <w:marLeft w:val="446"/>
          <w:marRight w:val="0"/>
          <w:marTop w:val="0"/>
          <w:marBottom w:val="0"/>
          <w:divBdr>
            <w:top w:val="none" w:sz="0" w:space="0" w:color="auto"/>
            <w:left w:val="none" w:sz="0" w:space="0" w:color="auto"/>
            <w:bottom w:val="none" w:sz="0" w:space="0" w:color="auto"/>
            <w:right w:val="none" w:sz="0" w:space="0" w:color="auto"/>
          </w:divBdr>
        </w:div>
      </w:divsChild>
    </w:div>
    <w:div w:id="1422214493">
      <w:bodyDiv w:val="1"/>
      <w:marLeft w:val="0"/>
      <w:marRight w:val="0"/>
      <w:marTop w:val="0"/>
      <w:marBottom w:val="0"/>
      <w:divBdr>
        <w:top w:val="none" w:sz="0" w:space="0" w:color="auto"/>
        <w:left w:val="none" w:sz="0" w:space="0" w:color="auto"/>
        <w:bottom w:val="none" w:sz="0" w:space="0" w:color="auto"/>
        <w:right w:val="none" w:sz="0" w:space="0" w:color="auto"/>
      </w:divBdr>
      <w:divsChild>
        <w:div w:id="403644415">
          <w:marLeft w:val="446"/>
          <w:marRight w:val="0"/>
          <w:marTop w:val="0"/>
          <w:marBottom w:val="0"/>
          <w:divBdr>
            <w:top w:val="none" w:sz="0" w:space="0" w:color="auto"/>
            <w:left w:val="none" w:sz="0" w:space="0" w:color="auto"/>
            <w:bottom w:val="none" w:sz="0" w:space="0" w:color="auto"/>
            <w:right w:val="none" w:sz="0" w:space="0" w:color="auto"/>
          </w:divBdr>
        </w:div>
        <w:div w:id="1418476287">
          <w:marLeft w:val="446"/>
          <w:marRight w:val="0"/>
          <w:marTop w:val="0"/>
          <w:marBottom w:val="0"/>
          <w:divBdr>
            <w:top w:val="none" w:sz="0" w:space="0" w:color="auto"/>
            <w:left w:val="none" w:sz="0" w:space="0" w:color="auto"/>
            <w:bottom w:val="none" w:sz="0" w:space="0" w:color="auto"/>
            <w:right w:val="none" w:sz="0" w:space="0" w:color="auto"/>
          </w:divBdr>
        </w:div>
      </w:divsChild>
    </w:div>
    <w:div w:id="1424372722">
      <w:bodyDiv w:val="1"/>
      <w:marLeft w:val="0"/>
      <w:marRight w:val="0"/>
      <w:marTop w:val="0"/>
      <w:marBottom w:val="0"/>
      <w:divBdr>
        <w:top w:val="none" w:sz="0" w:space="0" w:color="auto"/>
        <w:left w:val="none" w:sz="0" w:space="0" w:color="auto"/>
        <w:bottom w:val="none" w:sz="0" w:space="0" w:color="auto"/>
        <w:right w:val="none" w:sz="0" w:space="0" w:color="auto"/>
      </w:divBdr>
      <w:divsChild>
        <w:div w:id="1430926408">
          <w:marLeft w:val="547"/>
          <w:marRight w:val="0"/>
          <w:marTop w:val="0"/>
          <w:marBottom w:val="0"/>
          <w:divBdr>
            <w:top w:val="none" w:sz="0" w:space="0" w:color="auto"/>
            <w:left w:val="none" w:sz="0" w:space="0" w:color="auto"/>
            <w:bottom w:val="none" w:sz="0" w:space="0" w:color="auto"/>
            <w:right w:val="none" w:sz="0" w:space="0" w:color="auto"/>
          </w:divBdr>
        </w:div>
        <w:div w:id="1516381167">
          <w:marLeft w:val="547"/>
          <w:marRight w:val="0"/>
          <w:marTop w:val="0"/>
          <w:marBottom w:val="0"/>
          <w:divBdr>
            <w:top w:val="none" w:sz="0" w:space="0" w:color="auto"/>
            <w:left w:val="none" w:sz="0" w:space="0" w:color="auto"/>
            <w:bottom w:val="none" w:sz="0" w:space="0" w:color="auto"/>
            <w:right w:val="none" w:sz="0" w:space="0" w:color="auto"/>
          </w:divBdr>
        </w:div>
        <w:div w:id="1617060335">
          <w:marLeft w:val="547"/>
          <w:marRight w:val="0"/>
          <w:marTop w:val="0"/>
          <w:marBottom w:val="0"/>
          <w:divBdr>
            <w:top w:val="none" w:sz="0" w:space="0" w:color="auto"/>
            <w:left w:val="none" w:sz="0" w:space="0" w:color="auto"/>
            <w:bottom w:val="none" w:sz="0" w:space="0" w:color="auto"/>
            <w:right w:val="none" w:sz="0" w:space="0" w:color="auto"/>
          </w:divBdr>
        </w:div>
      </w:divsChild>
    </w:div>
    <w:div w:id="1476099585">
      <w:bodyDiv w:val="1"/>
      <w:marLeft w:val="0"/>
      <w:marRight w:val="0"/>
      <w:marTop w:val="0"/>
      <w:marBottom w:val="0"/>
      <w:divBdr>
        <w:top w:val="none" w:sz="0" w:space="0" w:color="auto"/>
        <w:left w:val="none" w:sz="0" w:space="0" w:color="auto"/>
        <w:bottom w:val="none" w:sz="0" w:space="0" w:color="auto"/>
        <w:right w:val="none" w:sz="0" w:space="0" w:color="auto"/>
      </w:divBdr>
      <w:divsChild>
        <w:div w:id="45489646">
          <w:marLeft w:val="446"/>
          <w:marRight w:val="0"/>
          <w:marTop w:val="0"/>
          <w:marBottom w:val="0"/>
          <w:divBdr>
            <w:top w:val="none" w:sz="0" w:space="0" w:color="auto"/>
            <w:left w:val="none" w:sz="0" w:space="0" w:color="auto"/>
            <w:bottom w:val="none" w:sz="0" w:space="0" w:color="auto"/>
            <w:right w:val="none" w:sz="0" w:space="0" w:color="auto"/>
          </w:divBdr>
        </w:div>
        <w:div w:id="749545469">
          <w:marLeft w:val="446"/>
          <w:marRight w:val="0"/>
          <w:marTop w:val="0"/>
          <w:marBottom w:val="0"/>
          <w:divBdr>
            <w:top w:val="none" w:sz="0" w:space="0" w:color="auto"/>
            <w:left w:val="none" w:sz="0" w:space="0" w:color="auto"/>
            <w:bottom w:val="none" w:sz="0" w:space="0" w:color="auto"/>
            <w:right w:val="none" w:sz="0" w:space="0" w:color="auto"/>
          </w:divBdr>
        </w:div>
        <w:div w:id="1818841376">
          <w:marLeft w:val="446"/>
          <w:marRight w:val="0"/>
          <w:marTop w:val="0"/>
          <w:marBottom w:val="0"/>
          <w:divBdr>
            <w:top w:val="none" w:sz="0" w:space="0" w:color="auto"/>
            <w:left w:val="none" w:sz="0" w:space="0" w:color="auto"/>
            <w:bottom w:val="none" w:sz="0" w:space="0" w:color="auto"/>
            <w:right w:val="none" w:sz="0" w:space="0" w:color="auto"/>
          </w:divBdr>
        </w:div>
      </w:divsChild>
    </w:div>
    <w:div w:id="1508204819">
      <w:bodyDiv w:val="1"/>
      <w:marLeft w:val="0"/>
      <w:marRight w:val="0"/>
      <w:marTop w:val="0"/>
      <w:marBottom w:val="0"/>
      <w:divBdr>
        <w:top w:val="none" w:sz="0" w:space="0" w:color="auto"/>
        <w:left w:val="none" w:sz="0" w:space="0" w:color="auto"/>
        <w:bottom w:val="none" w:sz="0" w:space="0" w:color="auto"/>
        <w:right w:val="none" w:sz="0" w:space="0" w:color="auto"/>
      </w:divBdr>
    </w:div>
    <w:div w:id="1517689126">
      <w:bodyDiv w:val="1"/>
      <w:marLeft w:val="0"/>
      <w:marRight w:val="0"/>
      <w:marTop w:val="0"/>
      <w:marBottom w:val="0"/>
      <w:divBdr>
        <w:top w:val="none" w:sz="0" w:space="0" w:color="auto"/>
        <w:left w:val="none" w:sz="0" w:space="0" w:color="auto"/>
        <w:bottom w:val="none" w:sz="0" w:space="0" w:color="auto"/>
        <w:right w:val="none" w:sz="0" w:space="0" w:color="auto"/>
      </w:divBdr>
      <w:divsChild>
        <w:div w:id="1007251377">
          <w:marLeft w:val="446"/>
          <w:marRight w:val="0"/>
          <w:marTop w:val="0"/>
          <w:marBottom w:val="0"/>
          <w:divBdr>
            <w:top w:val="none" w:sz="0" w:space="0" w:color="auto"/>
            <w:left w:val="none" w:sz="0" w:space="0" w:color="auto"/>
            <w:bottom w:val="none" w:sz="0" w:space="0" w:color="auto"/>
            <w:right w:val="none" w:sz="0" w:space="0" w:color="auto"/>
          </w:divBdr>
        </w:div>
        <w:div w:id="1747990361">
          <w:marLeft w:val="446"/>
          <w:marRight w:val="0"/>
          <w:marTop w:val="0"/>
          <w:marBottom w:val="0"/>
          <w:divBdr>
            <w:top w:val="none" w:sz="0" w:space="0" w:color="auto"/>
            <w:left w:val="none" w:sz="0" w:space="0" w:color="auto"/>
            <w:bottom w:val="none" w:sz="0" w:space="0" w:color="auto"/>
            <w:right w:val="none" w:sz="0" w:space="0" w:color="auto"/>
          </w:divBdr>
        </w:div>
      </w:divsChild>
    </w:div>
    <w:div w:id="1521042583">
      <w:bodyDiv w:val="1"/>
      <w:marLeft w:val="0"/>
      <w:marRight w:val="0"/>
      <w:marTop w:val="0"/>
      <w:marBottom w:val="0"/>
      <w:divBdr>
        <w:top w:val="none" w:sz="0" w:space="0" w:color="auto"/>
        <w:left w:val="none" w:sz="0" w:space="0" w:color="auto"/>
        <w:bottom w:val="none" w:sz="0" w:space="0" w:color="auto"/>
        <w:right w:val="none" w:sz="0" w:space="0" w:color="auto"/>
      </w:divBdr>
      <w:divsChild>
        <w:div w:id="668294907">
          <w:marLeft w:val="446"/>
          <w:marRight w:val="0"/>
          <w:marTop w:val="0"/>
          <w:marBottom w:val="0"/>
          <w:divBdr>
            <w:top w:val="none" w:sz="0" w:space="0" w:color="auto"/>
            <w:left w:val="none" w:sz="0" w:space="0" w:color="auto"/>
            <w:bottom w:val="none" w:sz="0" w:space="0" w:color="auto"/>
            <w:right w:val="none" w:sz="0" w:space="0" w:color="auto"/>
          </w:divBdr>
        </w:div>
        <w:div w:id="770197552">
          <w:marLeft w:val="446"/>
          <w:marRight w:val="0"/>
          <w:marTop w:val="0"/>
          <w:marBottom w:val="0"/>
          <w:divBdr>
            <w:top w:val="none" w:sz="0" w:space="0" w:color="auto"/>
            <w:left w:val="none" w:sz="0" w:space="0" w:color="auto"/>
            <w:bottom w:val="none" w:sz="0" w:space="0" w:color="auto"/>
            <w:right w:val="none" w:sz="0" w:space="0" w:color="auto"/>
          </w:divBdr>
        </w:div>
        <w:div w:id="811797600">
          <w:marLeft w:val="446"/>
          <w:marRight w:val="0"/>
          <w:marTop w:val="0"/>
          <w:marBottom w:val="0"/>
          <w:divBdr>
            <w:top w:val="none" w:sz="0" w:space="0" w:color="auto"/>
            <w:left w:val="none" w:sz="0" w:space="0" w:color="auto"/>
            <w:bottom w:val="none" w:sz="0" w:space="0" w:color="auto"/>
            <w:right w:val="none" w:sz="0" w:space="0" w:color="auto"/>
          </w:divBdr>
        </w:div>
      </w:divsChild>
    </w:div>
    <w:div w:id="1528059530">
      <w:bodyDiv w:val="1"/>
      <w:marLeft w:val="0"/>
      <w:marRight w:val="0"/>
      <w:marTop w:val="0"/>
      <w:marBottom w:val="0"/>
      <w:divBdr>
        <w:top w:val="none" w:sz="0" w:space="0" w:color="auto"/>
        <w:left w:val="none" w:sz="0" w:space="0" w:color="auto"/>
        <w:bottom w:val="none" w:sz="0" w:space="0" w:color="auto"/>
        <w:right w:val="none" w:sz="0" w:space="0" w:color="auto"/>
      </w:divBdr>
      <w:divsChild>
        <w:div w:id="531580275">
          <w:marLeft w:val="547"/>
          <w:marRight w:val="0"/>
          <w:marTop w:val="0"/>
          <w:marBottom w:val="0"/>
          <w:divBdr>
            <w:top w:val="none" w:sz="0" w:space="0" w:color="auto"/>
            <w:left w:val="none" w:sz="0" w:space="0" w:color="auto"/>
            <w:bottom w:val="none" w:sz="0" w:space="0" w:color="auto"/>
            <w:right w:val="none" w:sz="0" w:space="0" w:color="auto"/>
          </w:divBdr>
        </w:div>
        <w:div w:id="578759652">
          <w:marLeft w:val="547"/>
          <w:marRight w:val="0"/>
          <w:marTop w:val="0"/>
          <w:marBottom w:val="0"/>
          <w:divBdr>
            <w:top w:val="none" w:sz="0" w:space="0" w:color="auto"/>
            <w:left w:val="none" w:sz="0" w:space="0" w:color="auto"/>
            <w:bottom w:val="none" w:sz="0" w:space="0" w:color="auto"/>
            <w:right w:val="none" w:sz="0" w:space="0" w:color="auto"/>
          </w:divBdr>
        </w:div>
        <w:div w:id="1131367241">
          <w:marLeft w:val="547"/>
          <w:marRight w:val="0"/>
          <w:marTop w:val="0"/>
          <w:marBottom w:val="0"/>
          <w:divBdr>
            <w:top w:val="none" w:sz="0" w:space="0" w:color="auto"/>
            <w:left w:val="none" w:sz="0" w:space="0" w:color="auto"/>
            <w:bottom w:val="none" w:sz="0" w:space="0" w:color="auto"/>
            <w:right w:val="none" w:sz="0" w:space="0" w:color="auto"/>
          </w:divBdr>
        </w:div>
      </w:divsChild>
    </w:div>
    <w:div w:id="1562208145">
      <w:bodyDiv w:val="1"/>
      <w:marLeft w:val="0"/>
      <w:marRight w:val="0"/>
      <w:marTop w:val="0"/>
      <w:marBottom w:val="0"/>
      <w:divBdr>
        <w:top w:val="none" w:sz="0" w:space="0" w:color="auto"/>
        <w:left w:val="none" w:sz="0" w:space="0" w:color="auto"/>
        <w:bottom w:val="none" w:sz="0" w:space="0" w:color="auto"/>
        <w:right w:val="none" w:sz="0" w:space="0" w:color="auto"/>
      </w:divBdr>
      <w:divsChild>
        <w:div w:id="570189429">
          <w:marLeft w:val="446"/>
          <w:marRight w:val="0"/>
          <w:marTop w:val="0"/>
          <w:marBottom w:val="0"/>
          <w:divBdr>
            <w:top w:val="none" w:sz="0" w:space="0" w:color="auto"/>
            <w:left w:val="none" w:sz="0" w:space="0" w:color="auto"/>
            <w:bottom w:val="none" w:sz="0" w:space="0" w:color="auto"/>
            <w:right w:val="none" w:sz="0" w:space="0" w:color="auto"/>
          </w:divBdr>
        </w:div>
        <w:div w:id="2042391855">
          <w:marLeft w:val="446"/>
          <w:marRight w:val="0"/>
          <w:marTop w:val="0"/>
          <w:marBottom w:val="0"/>
          <w:divBdr>
            <w:top w:val="none" w:sz="0" w:space="0" w:color="auto"/>
            <w:left w:val="none" w:sz="0" w:space="0" w:color="auto"/>
            <w:bottom w:val="none" w:sz="0" w:space="0" w:color="auto"/>
            <w:right w:val="none" w:sz="0" w:space="0" w:color="auto"/>
          </w:divBdr>
        </w:div>
      </w:divsChild>
    </w:div>
    <w:div w:id="1630938034">
      <w:bodyDiv w:val="1"/>
      <w:marLeft w:val="0"/>
      <w:marRight w:val="0"/>
      <w:marTop w:val="0"/>
      <w:marBottom w:val="0"/>
      <w:divBdr>
        <w:top w:val="none" w:sz="0" w:space="0" w:color="auto"/>
        <w:left w:val="none" w:sz="0" w:space="0" w:color="auto"/>
        <w:bottom w:val="none" w:sz="0" w:space="0" w:color="auto"/>
        <w:right w:val="none" w:sz="0" w:space="0" w:color="auto"/>
      </w:divBdr>
      <w:divsChild>
        <w:div w:id="54671153">
          <w:marLeft w:val="446"/>
          <w:marRight w:val="0"/>
          <w:marTop w:val="0"/>
          <w:marBottom w:val="0"/>
          <w:divBdr>
            <w:top w:val="none" w:sz="0" w:space="0" w:color="auto"/>
            <w:left w:val="none" w:sz="0" w:space="0" w:color="auto"/>
            <w:bottom w:val="none" w:sz="0" w:space="0" w:color="auto"/>
            <w:right w:val="none" w:sz="0" w:space="0" w:color="auto"/>
          </w:divBdr>
        </w:div>
        <w:div w:id="1241526408">
          <w:marLeft w:val="446"/>
          <w:marRight w:val="0"/>
          <w:marTop w:val="0"/>
          <w:marBottom w:val="0"/>
          <w:divBdr>
            <w:top w:val="none" w:sz="0" w:space="0" w:color="auto"/>
            <w:left w:val="none" w:sz="0" w:space="0" w:color="auto"/>
            <w:bottom w:val="none" w:sz="0" w:space="0" w:color="auto"/>
            <w:right w:val="none" w:sz="0" w:space="0" w:color="auto"/>
          </w:divBdr>
        </w:div>
        <w:div w:id="1429043096">
          <w:marLeft w:val="446"/>
          <w:marRight w:val="0"/>
          <w:marTop w:val="0"/>
          <w:marBottom w:val="0"/>
          <w:divBdr>
            <w:top w:val="none" w:sz="0" w:space="0" w:color="auto"/>
            <w:left w:val="none" w:sz="0" w:space="0" w:color="auto"/>
            <w:bottom w:val="none" w:sz="0" w:space="0" w:color="auto"/>
            <w:right w:val="none" w:sz="0" w:space="0" w:color="auto"/>
          </w:divBdr>
        </w:div>
      </w:divsChild>
    </w:div>
    <w:div w:id="1653487878">
      <w:bodyDiv w:val="1"/>
      <w:marLeft w:val="0"/>
      <w:marRight w:val="0"/>
      <w:marTop w:val="0"/>
      <w:marBottom w:val="0"/>
      <w:divBdr>
        <w:top w:val="none" w:sz="0" w:space="0" w:color="auto"/>
        <w:left w:val="none" w:sz="0" w:space="0" w:color="auto"/>
        <w:bottom w:val="none" w:sz="0" w:space="0" w:color="auto"/>
        <w:right w:val="none" w:sz="0" w:space="0" w:color="auto"/>
      </w:divBdr>
      <w:divsChild>
        <w:div w:id="1431511302">
          <w:marLeft w:val="446"/>
          <w:marRight w:val="0"/>
          <w:marTop w:val="0"/>
          <w:marBottom w:val="0"/>
          <w:divBdr>
            <w:top w:val="none" w:sz="0" w:space="0" w:color="auto"/>
            <w:left w:val="none" w:sz="0" w:space="0" w:color="auto"/>
            <w:bottom w:val="none" w:sz="0" w:space="0" w:color="auto"/>
            <w:right w:val="none" w:sz="0" w:space="0" w:color="auto"/>
          </w:divBdr>
        </w:div>
      </w:divsChild>
    </w:div>
    <w:div w:id="1695688466">
      <w:bodyDiv w:val="1"/>
      <w:marLeft w:val="0"/>
      <w:marRight w:val="0"/>
      <w:marTop w:val="0"/>
      <w:marBottom w:val="0"/>
      <w:divBdr>
        <w:top w:val="none" w:sz="0" w:space="0" w:color="auto"/>
        <w:left w:val="none" w:sz="0" w:space="0" w:color="auto"/>
        <w:bottom w:val="none" w:sz="0" w:space="0" w:color="auto"/>
        <w:right w:val="none" w:sz="0" w:space="0" w:color="auto"/>
      </w:divBdr>
    </w:div>
    <w:div w:id="1777290371">
      <w:bodyDiv w:val="1"/>
      <w:marLeft w:val="0"/>
      <w:marRight w:val="0"/>
      <w:marTop w:val="0"/>
      <w:marBottom w:val="0"/>
      <w:divBdr>
        <w:top w:val="none" w:sz="0" w:space="0" w:color="auto"/>
        <w:left w:val="none" w:sz="0" w:space="0" w:color="auto"/>
        <w:bottom w:val="none" w:sz="0" w:space="0" w:color="auto"/>
        <w:right w:val="none" w:sz="0" w:space="0" w:color="auto"/>
      </w:divBdr>
      <w:divsChild>
        <w:div w:id="227545205">
          <w:marLeft w:val="446"/>
          <w:marRight w:val="0"/>
          <w:marTop w:val="0"/>
          <w:marBottom w:val="0"/>
          <w:divBdr>
            <w:top w:val="none" w:sz="0" w:space="0" w:color="auto"/>
            <w:left w:val="none" w:sz="0" w:space="0" w:color="auto"/>
            <w:bottom w:val="none" w:sz="0" w:space="0" w:color="auto"/>
            <w:right w:val="none" w:sz="0" w:space="0" w:color="auto"/>
          </w:divBdr>
        </w:div>
        <w:div w:id="232933315">
          <w:marLeft w:val="446"/>
          <w:marRight w:val="0"/>
          <w:marTop w:val="0"/>
          <w:marBottom w:val="0"/>
          <w:divBdr>
            <w:top w:val="none" w:sz="0" w:space="0" w:color="auto"/>
            <w:left w:val="none" w:sz="0" w:space="0" w:color="auto"/>
            <w:bottom w:val="none" w:sz="0" w:space="0" w:color="auto"/>
            <w:right w:val="none" w:sz="0" w:space="0" w:color="auto"/>
          </w:divBdr>
        </w:div>
        <w:div w:id="1355418417">
          <w:marLeft w:val="446"/>
          <w:marRight w:val="0"/>
          <w:marTop w:val="0"/>
          <w:marBottom w:val="0"/>
          <w:divBdr>
            <w:top w:val="none" w:sz="0" w:space="0" w:color="auto"/>
            <w:left w:val="none" w:sz="0" w:space="0" w:color="auto"/>
            <w:bottom w:val="none" w:sz="0" w:space="0" w:color="auto"/>
            <w:right w:val="none" w:sz="0" w:space="0" w:color="auto"/>
          </w:divBdr>
        </w:div>
      </w:divsChild>
    </w:div>
    <w:div w:id="1815177586">
      <w:bodyDiv w:val="1"/>
      <w:marLeft w:val="0"/>
      <w:marRight w:val="0"/>
      <w:marTop w:val="0"/>
      <w:marBottom w:val="0"/>
      <w:divBdr>
        <w:top w:val="none" w:sz="0" w:space="0" w:color="auto"/>
        <w:left w:val="none" w:sz="0" w:space="0" w:color="auto"/>
        <w:bottom w:val="none" w:sz="0" w:space="0" w:color="auto"/>
        <w:right w:val="none" w:sz="0" w:space="0" w:color="auto"/>
      </w:divBdr>
      <w:divsChild>
        <w:div w:id="86779266">
          <w:marLeft w:val="446"/>
          <w:marRight w:val="0"/>
          <w:marTop w:val="0"/>
          <w:marBottom w:val="0"/>
          <w:divBdr>
            <w:top w:val="none" w:sz="0" w:space="0" w:color="auto"/>
            <w:left w:val="none" w:sz="0" w:space="0" w:color="auto"/>
            <w:bottom w:val="none" w:sz="0" w:space="0" w:color="auto"/>
            <w:right w:val="none" w:sz="0" w:space="0" w:color="auto"/>
          </w:divBdr>
        </w:div>
        <w:div w:id="396779739">
          <w:marLeft w:val="446"/>
          <w:marRight w:val="0"/>
          <w:marTop w:val="0"/>
          <w:marBottom w:val="0"/>
          <w:divBdr>
            <w:top w:val="none" w:sz="0" w:space="0" w:color="auto"/>
            <w:left w:val="none" w:sz="0" w:space="0" w:color="auto"/>
            <w:bottom w:val="none" w:sz="0" w:space="0" w:color="auto"/>
            <w:right w:val="none" w:sz="0" w:space="0" w:color="auto"/>
          </w:divBdr>
        </w:div>
        <w:div w:id="673648043">
          <w:marLeft w:val="446"/>
          <w:marRight w:val="0"/>
          <w:marTop w:val="0"/>
          <w:marBottom w:val="0"/>
          <w:divBdr>
            <w:top w:val="none" w:sz="0" w:space="0" w:color="auto"/>
            <w:left w:val="none" w:sz="0" w:space="0" w:color="auto"/>
            <w:bottom w:val="none" w:sz="0" w:space="0" w:color="auto"/>
            <w:right w:val="none" w:sz="0" w:space="0" w:color="auto"/>
          </w:divBdr>
        </w:div>
      </w:divsChild>
    </w:div>
    <w:div w:id="1831603898">
      <w:bodyDiv w:val="1"/>
      <w:marLeft w:val="0"/>
      <w:marRight w:val="0"/>
      <w:marTop w:val="0"/>
      <w:marBottom w:val="0"/>
      <w:divBdr>
        <w:top w:val="none" w:sz="0" w:space="0" w:color="auto"/>
        <w:left w:val="none" w:sz="0" w:space="0" w:color="auto"/>
        <w:bottom w:val="none" w:sz="0" w:space="0" w:color="auto"/>
        <w:right w:val="none" w:sz="0" w:space="0" w:color="auto"/>
      </w:divBdr>
      <w:divsChild>
        <w:div w:id="900403950">
          <w:marLeft w:val="446"/>
          <w:marRight w:val="0"/>
          <w:marTop w:val="0"/>
          <w:marBottom w:val="0"/>
          <w:divBdr>
            <w:top w:val="none" w:sz="0" w:space="0" w:color="auto"/>
            <w:left w:val="none" w:sz="0" w:space="0" w:color="auto"/>
            <w:bottom w:val="none" w:sz="0" w:space="0" w:color="auto"/>
            <w:right w:val="none" w:sz="0" w:space="0" w:color="auto"/>
          </w:divBdr>
        </w:div>
        <w:div w:id="1627079007">
          <w:marLeft w:val="446"/>
          <w:marRight w:val="0"/>
          <w:marTop w:val="0"/>
          <w:marBottom w:val="0"/>
          <w:divBdr>
            <w:top w:val="none" w:sz="0" w:space="0" w:color="auto"/>
            <w:left w:val="none" w:sz="0" w:space="0" w:color="auto"/>
            <w:bottom w:val="none" w:sz="0" w:space="0" w:color="auto"/>
            <w:right w:val="none" w:sz="0" w:space="0" w:color="auto"/>
          </w:divBdr>
        </w:div>
      </w:divsChild>
    </w:div>
    <w:div w:id="1841694796">
      <w:bodyDiv w:val="1"/>
      <w:marLeft w:val="0"/>
      <w:marRight w:val="0"/>
      <w:marTop w:val="0"/>
      <w:marBottom w:val="0"/>
      <w:divBdr>
        <w:top w:val="none" w:sz="0" w:space="0" w:color="auto"/>
        <w:left w:val="none" w:sz="0" w:space="0" w:color="auto"/>
        <w:bottom w:val="none" w:sz="0" w:space="0" w:color="auto"/>
        <w:right w:val="none" w:sz="0" w:space="0" w:color="auto"/>
      </w:divBdr>
      <w:divsChild>
        <w:div w:id="287903347">
          <w:marLeft w:val="547"/>
          <w:marRight w:val="0"/>
          <w:marTop w:val="120"/>
          <w:marBottom w:val="0"/>
          <w:divBdr>
            <w:top w:val="none" w:sz="0" w:space="0" w:color="auto"/>
            <w:left w:val="none" w:sz="0" w:space="0" w:color="auto"/>
            <w:bottom w:val="none" w:sz="0" w:space="0" w:color="auto"/>
            <w:right w:val="none" w:sz="0" w:space="0" w:color="auto"/>
          </w:divBdr>
        </w:div>
        <w:div w:id="729039499">
          <w:marLeft w:val="547"/>
          <w:marRight w:val="0"/>
          <w:marTop w:val="120"/>
          <w:marBottom w:val="0"/>
          <w:divBdr>
            <w:top w:val="none" w:sz="0" w:space="0" w:color="auto"/>
            <w:left w:val="none" w:sz="0" w:space="0" w:color="auto"/>
            <w:bottom w:val="none" w:sz="0" w:space="0" w:color="auto"/>
            <w:right w:val="none" w:sz="0" w:space="0" w:color="auto"/>
          </w:divBdr>
        </w:div>
        <w:div w:id="920144316">
          <w:marLeft w:val="547"/>
          <w:marRight w:val="0"/>
          <w:marTop w:val="120"/>
          <w:marBottom w:val="0"/>
          <w:divBdr>
            <w:top w:val="none" w:sz="0" w:space="0" w:color="auto"/>
            <w:left w:val="none" w:sz="0" w:space="0" w:color="auto"/>
            <w:bottom w:val="none" w:sz="0" w:space="0" w:color="auto"/>
            <w:right w:val="none" w:sz="0" w:space="0" w:color="auto"/>
          </w:divBdr>
        </w:div>
        <w:div w:id="1090586530">
          <w:marLeft w:val="547"/>
          <w:marRight w:val="0"/>
          <w:marTop w:val="120"/>
          <w:marBottom w:val="0"/>
          <w:divBdr>
            <w:top w:val="none" w:sz="0" w:space="0" w:color="auto"/>
            <w:left w:val="none" w:sz="0" w:space="0" w:color="auto"/>
            <w:bottom w:val="none" w:sz="0" w:space="0" w:color="auto"/>
            <w:right w:val="none" w:sz="0" w:space="0" w:color="auto"/>
          </w:divBdr>
        </w:div>
        <w:div w:id="1121923975">
          <w:marLeft w:val="547"/>
          <w:marRight w:val="0"/>
          <w:marTop w:val="120"/>
          <w:marBottom w:val="0"/>
          <w:divBdr>
            <w:top w:val="none" w:sz="0" w:space="0" w:color="auto"/>
            <w:left w:val="none" w:sz="0" w:space="0" w:color="auto"/>
            <w:bottom w:val="none" w:sz="0" w:space="0" w:color="auto"/>
            <w:right w:val="none" w:sz="0" w:space="0" w:color="auto"/>
          </w:divBdr>
        </w:div>
        <w:div w:id="1186596008">
          <w:marLeft w:val="547"/>
          <w:marRight w:val="0"/>
          <w:marTop w:val="120"/>
          <w:marBottom w:val="0"/>
          <w:divBdr>
            <w:top w:val="none" w:sz="0" w:space="0" w:color="auto"/>
            <w:left w:val="none" w:sz="0" w:space="0" w:color="auto"/>
            <w:bottom w:val="none" w:sz="0" w:space="0" w:color="auto"/>
            <w:right w:val="none" w:sz="0" w:space="0" w:color="auto"/>
          </w:divBdr>
        </w:div>
        <w:div w:id="1191530224">
          <w:marLeft w:val="547"/>
          <w:marRight w:val="0"/>
          <w:marTop w:val="120"/>
          <w:marBottom w:val="0"/>
          <w:divBdr>
            <w:top w:val="none" w:sz="0" w:space="0" w:color="auto"/>
            <w:left w:val="none" w:sz="0" w:space="0" w:color="auto"/>
            <w:bottom w:val="none" w:sz="0" w:space="0" w:color="auto"/>
            <w:right w:val="none" w:sz="0" w:space="0" w:color="auto"/>
          </w:divBdr>
        </w:div>
        <w:div w:id="1834370535">
          <w:marLeft w:val="547"/>
          <w:marRight w:val="0"/>
          <w:marTop w:val="120"/>
          <w:marBottom w:val="0"/>
          <w:divBdr>
            <w:top w:val="none" w:sz="0" w:space="0" w:color="auto"/>
            <w:left w:val="none" w:sz="0" w:space="0" w:color="auto"/>
            <w:bottom w:val="none" w:sz="0" w:space="0" w:color="auto"/>
            <w:right w:val="none" w:sz="0" w:space="0" w:color="auto"/>
          </w:divBdr>
        </w:div>
        <w:div w:id="1960137580">
          <w:marLeft w:val="547"/>
          <w:marRight w:val="0"/>
          <w:marTop w:val="120"/>
          <w:marBottom w:val="0"/>
          <w:divBdr>
            <w:top w:val="none" w:sz="0" w:space="0" w:color="auto"/>
            <w:left w:val="none" w:sz="0" w:space="0" w:color="auto"/>
            <w:bottom w:val="none" w:sz="0" w:space="0" w:color="auto"/>
            <w:right w:val="none" w:sz="0" w:space="0" w:color="auto"/>
          </w:divBdr>
        </w:div>
      </w:divsChild>
    </w:div>
    <w:div w:id="1924415800">
      <w:bodyDiv w:val="1"/>
      <w:marLeft w:val="0"/>
      <w:marRight w:val="0"/>
      <w:marTop w:val="0"/>
      <w:marBottom w:val="0"/>
      <w:divBdr>
        <w:top w:val="none" w:sz="0" w:space="0" w:color="auto"/>
        <w:left w:val="none" w:sz="0" w:space="0" w:color="auto"/>
        <w:bottom w:val="none" w:sz="0" w:space="0" w:color="auto"/>
        <w:right w:val="none" w:sz="0" w:space="0" w:color="auto"/>
      </w:divBdr>
      <w:divsChild>
        <w:div w:id="1287465216">
          <w:marLeft w:val="446"/>
          <w:marRight w:val="0"/>
          <w:marTop w:val="0"/>
          <w:marBottom w:val="0"/>
          <w:divBdr>
            <w:top w:val="none" w:sz="0" w:space="0" w:color="auto"/>
            <w:left w:val="none" w:sz="0" w:space="0" w:color="auto"/>
            <w:bottom w:val="none" w:sz="0" w:space="0" w:color="auto"/>
            <w:right w:val="none" w:sz="0" w:space="0" w:color="auto"/>
          </w:divBdr>
        </w:div>
        <w:div w:id="1941260614">
          <w:marLeft w:val="446"/>
          <w:marRight w:val="0"/>
          <w:marTop w:val="0"/>
          <w:marBottom w:val="0"/>
          <w:divBdr>
            <w:top w:val="none" w:sz="0" w:space="0" w:color="auto"/>
            <w:left w:val="none" w:sz="0" w:space="0" w:color="auto"/>
            <w:bottom w:val="none" w:sz="0" w:space="0" w:color="auto"/>
            <w:right w:val="none" w:sz="0" w:space="0" w:color="auto"/>
          </w:divBdr>
        </w:div>
      </w:divsChild>
    </w:div>
    <w:div w:id="1944073950">
      <w:bodyDiv w:val="1"/>
      <w:marLeft w:val="0"/>
      <w:marRight w:val="0"/>
      <w:marTop w:val="0"/>
      <w:marBottom w:val="0"/>
      <w:divBdr>
        <w:top w:val="none" w:sz="0" w:space="0" w:color="auto"/>
        <w:left w:val="none" w:sz="0" w:space="0" w:color="auto"/>
        <w:bottom w:val="none" w:sz="0" w:space="0" w:color="auto"/>
        <w:right w:val="none" w:sz="0" w:space="0" w:color="auto"/>
      </w:divBdr>
      <w:divsChild>
        <w:div w:id="182209270">
          <w:marLeft w:val="547"/>
          <w:marRight w:val="0"/>
          <w:marTop w:val="0"/>
          <w:marBottom w:val="0"/>
          <w:divBdr>
            <w:top w:val="none" w:sz="0" w:space="0" w:color="auto"/>
            <w:left w:val="none" w:sz="0" w:space="0" w:color="auto"/>
            <w:bottom w:val="none" w:sz="0" w:space="0" w:color="auto"/>
            <w:right w:val="none" w:sz="0" w:space="0" w:color="auto"/>
          </w:divBdr>
        </w:div>
        <w:div w:id="872494536">
          <w:marLeft w:val="547"/>
          <w:marRight w:val="0"/>
          <w:marTop w:val="0"/>
          <w:marBottom w:val="0"/>
          <w:divBdr>
            <w:top w:val="none" w:sz="0" w:space="0" w:color="auto"/>
            <w:left w:val="none" w:sz="0" w:space="0" w:color="auto"/>
            <w:bottom w:val="none" w:sz="0" w:space="0" w:color="auto"/>
            <w:right w:val="none" w:sz="0" w:space="0" w:color="auto"/>
          </w:divBdr>
        </w:div>
        <w:div w:id="1654601630">
          <w:marLeft w:val="547"/>
          <w:marRight w:val="0"/>
          <w:marTop w:val="0"/>
          <w:marBottom w:val="0"/>
          <w:divBdr>
            <w:top w:val="none" w:sz="0" w:space="0" w:color="auto"/>
            <w:left w:val="none" w:sz="0" w:space="0" w:color="auto"/>
            <w:bottom w:val="none" w:sz="0" w:space="0" w:color="auto"/>
            <w:right w:val="none" w:sz="0" w:space="0" w:color="auto"/>
          </w:divBdr>
        </w:div>
        <w:div w:id="2060131827">
          <w:marLeft w:val="547"/>
          <w:marRight w:val="0"/>
          <w:marTop w:val="0"/>
          <w:marBottom w:val="0"/>
          <w:divBdr>
            <w:top w:val="none" w:sz="0" w:space="0" w:color="auto"/>
            <w:left w:val="none" w:sz="0" w:space="0" w:color="auto"/>
            <w:bottom w:val="none" w:sz="0" w:space="0" w:color="auto"/>
            <w:right w:val="none" w:sz="0" w:space="0" w:color="auto"/>
          </w:divBdr>
        </w:div>
      </w:divsChild>
    </w:div>
    <w:div w:id="1994141836">
      <w:bodyDiv w:val="1"/>
      <w:marLeft w:val="0"/>
      <w:marRight w:val="0"/>
      <w:marTop w:val="0"/>
      <w:marBottom w:val="0"/>
      <w:divBdr>
        <w:top w:val="none" w:sz="0" w:space="0" w:color="auto"/>
        <w:left w:val="none" w:sz="0" w:space="0" w:color="auto"/>
        <w:bottom w:val="none" w:sz="0" w:space="0" w:color="auto"/>
        <w:right w:val="none" w:sz="0" w:space="0" w:color="auto"/>
      </w:divBdr>
    </w:div>
    <w:div w:id="1999454648">
      <w:bodyDiv w:val="1"/>
      <w:marLeft w:val="0"/>
      <w:marRight w:val="0"/>
      <w:marTop w:val="0"/>
      <w:marBottom w:val="0"/>
      <w:divBdr>
        <w:top w:val="none" w:sz="0" w:space="0" w:color="auto"/>
        <w:left w:val="none" w:sz="0" w:space="0" w:color="auto"/>
        <w:bottom w:val="none" w:sz="0" w:space="0" w:color="auto"/>
        <w:right w:val="none" w:sz="0" w:space="0" w:color="auto"/>
      </w:divBdr>
    </w:div>
    <w:div w:id="2064794575">
      <w:bodyDiv w:val="1"/>
      <w:marLeft w:val="0"/>
      <w:marRight w:val="0"/>
      <w:marTop w:val="0"/>
      <w:marBottom w:val="0"/>
      <w:divBdr>
        <w:top w:val="none" w:sz="0" w:space="0" w:color="auto"/>
        <w:left w:val="none" w:sz="0" w:space="0" w:color="auto"/>
        <w:bottom w:val="none" w:sz="0" w:space="0" w:color="auto"/>
        <w:right w:val="none" w:sz="0" w:space="0" w:color="auto"/>
      </w:divBdr>
    </w:div>
    <w:div w:id="2070306088">
      <w:bodyDiv w:val="1"/>
      <w:marLeft w:val="0"/>
      <w:marRight w:val="0"/>
      <w:marTop w:val="0"/>
      <w:marBottom w:val="0"/>
      <w:divBdr>
        <w:top w:val="none" w:sz="0" w:space="0" w:color="auto"/>
        <w:left w:val="none" w:sz="0" w:space="0" w:color="auto"/>
        <w:bottom w:val="none" w:sz="0" w:space="0" w:color="auto"/>
        <w:right w:val="none" w:sz="0" w:space="0" w:color="auto"/>
      </w:divBdr>
      <w:divsChild>
        <w:div w:id="570846640">
          <w:marLeft w:val="547"/>
          <w:marRight w:val="0"/>
          <w:marTop w:val="200"/>
          <w:marBottom w:val="0"/>
          <w:divBdr>
            <w:top w:val="none" w:sz="0" w:space="0" w:color="auto"/>
            <w:left w:val="none" w:sz="0" w:space="0" w:color="auto"/>
            <w:bottom w:val="none" w:sz="0" w:space="0" w:color="auto"/>
            <w:right w:val="none" w:sz="0" w:space="0" w:color="auto"/>
          </w:divBdr>
        </w:div>
        <w:div w:id="714545535">
          <w:marLeft w:val="547"/>
          <w:marRight w:val="0"/>
          <w:marTop w:val="200"/>
          <w:marBottom w:val="0"/>
          <w:divBdr>
            <w:top w:val="none" w:sz="0" w:space="0" w:color="auto"/>
            <w:left w:val="none" w:sz="0" w:space="0" w:color="auto"/>
            <w:bottom w:val="none" w:sz="0" w:space="0" w:color="auto"/>
            <w:right w:val="none" w:sz="0" w:space="0" w:color="auto"/>
          </w:divBdr>
        </w:div>
        <w:div w:id="1154834941">
          <w:marLeft w:val="547"/>
          <w:marRight w:val="0"/>
          <w:marTop w:val="200"/>
          <w:marBottom w:val="0"/>
          <w:divBdr>
            <w:top w:val="none" w:sz="0" w:space="0" w:color="auto"/>
            <w:left w:val="none" w:sz="0" w:space="0" w:color="auto"/>
            <w:bottom w:val="none" w:sz="0" w:space="0" w:color="auto"/>
            <w:right w:val="none" w:sz="0" w:space="0" w:color="auto"/>
          </w:divBdr>
        </w:div>
        <w:div w:id="1394430401">
          <w:marLeft w:val="547"/>
          <w:marRight w:val="0"/>
          <w:marTop w:val="200"/>
          <w:marBottom w:val="0"/>
          <w:divBdr>
            <w:top w:val="none" w:sz="0" w:space="0" w:color="auto"/>
            <w:left w:val="none" w:sz="0" w:space="0" w:color="auto"/>
            <w:bottom w:val="none" w:sz="0" w:space="0" w:color="auto"/>
            <w:right w:val="none" w:sz="0" w:space="0" w:color="auto"/>
          </w:divBdr>
        </w:div>
        <w:div w:id="1727334056">
          <w:marLeft w:val="547"/>
          <w:marRight w:val="0"/>
          <w:marTop w:val="200"/>
          <w:marBottom w:val="0"/>
          <w:divBdr>
            <w:top w:val="none" w:sz="0" w:space="0" w:color="auto"/>
            <w:left w:val="none" w:sz="0" w:space="0" w:color="auto"/>
            <w:bottom w:val="none" w:sz="0" w:space="0" w:color="auto"/>
            <w:right w:val="none" w:sz="0" w:space="0" w:color="auto"/>
          </w:divBdr>
        </w:div>
        <w:div w:id="1738434560">
          <w:marLeft w:val="547"/>
          <w:marRight w:val="0"/>
          <w:marTop w:val="200"/>
          <w:marBottom w:val="0"/>
          <w:divBdr>
            <w:top w:val="none" w:sz="0" w:space="0" w:color="auto"/>
            <w:left w:val="none" w:sz="0" w:space="0" w:color="auto"/>
            <w:bottom w:val="none" w:sz="0" w:space="0" w:color="auto"/>
            <w:right w:val="none" w:sz="0" w:space="0" w:color="auto"/>
          </w:divBdr>
        </w:div>
      </w:divsChild>
    </w:div>
    <w:div w:id="2081976091">
      <w:bodyDiv w:val="1"/>
      <w:marLeft w:val="0"/>
      <w:marRight w:val="0"/>
      <w:marTop w:val="0"/>
      <w:marBottom w:val="0"/>
      <w:divBdr>
        <w:top w:val="none" w:sz="0" w:space="0" w:color="auto"/>
        <w:left w:val="none" w:sz="0" w:space="0" w:color="auto"/>
        <w:bottom w:val="none" w:sz="0" w:space="0" w:color="auto"/>
        <w:right w:val="none" w:sz="0" w:space="0" w:color="auto"/>
      </w:divBdr>
      <w:divsChild>
        <w:div w:id="177813188">
          <w:marLeft w:val="446"/>
          <w:marRight w:val="0"/>
          <w:marTop w:val="0"/>
          <w:marBottom w:val="0"/>
          <w:divBdr>
            <w:top w:val="none" w:sz="0" w:space="0" w:color="auto"/>
            <w:left w:val="none" w:sz="0" w:space="0" w:color="auto"/>
            <w:bottom w:val="none" w:sz="0" w:space="0" w:color="auto"/>
            <w:right w:val="none" w:sz="0" w:space="0" w:color="auto"/>
          </w:divBdr>
        </w:div>
        <w:div w:id="214856602">
          <w:marLeft w:val="446"/>
          <w:marRight w:val="0"/>
          <w:marTop w:val="0"/>
          <w:marBottom w:val="0"/>
          <w:divBdr>
            <w:top w:val="none" w:sz="0" w:space="0" w:color="auto"/>
            <w:left w:val="none" w:sz="0" w:space="0" w:color="auto"/>
            <w:bottom w:val="none" w:sz="0" w:space="0" w:color="auto"/>
            <w:right w:val="none" w:sz="0" w:space="0" w:color="auto"/>
          </w:divBdr>
        </w:div>
        <w:div w:id="413819646">
          <w:marLeft w:val="446"/>
          <w:marRight w:val="0"/>
          <w:marTop w:val="0"/>
          <w:marBottom w:val="0"/>
          <w:divBdr>
            <w:top w:val="none" w:sz="0" w:space="0" w:color="auto"/>
            <w:left w:val="none" w:sz="0" w:space="0" w:color="auto"/>
            <w:bottom w:val="none" w:sz="0" w:space="0" w:color="auto"/>
            <w:right w:val="none" w:sz="0" w:space="0" w:color="auto"/>
          </w:divBdr>
        </w:div>
        <w:div w:id="1578514745">
          <w:marLeft w:val="446"/>
          <w:marRight w:val="0"/>
          <w:marTop w:val="0"/>
          <w:marBottom w:val="0"/>
          <w:divBdr>
            <w:top w:val="none" w:sz="0" w:space="0" w:color="auto"/>
            <w:left w:val="none" w:sz="0" w:space="0" w:color="auto"/>
            <w:bottom w:val="none" w:sz="0" w:space="0" w:color="auto"/>
            <w:right w:val="none" w:sz="0" w:space="0" w:color="auto"/>
          </w:divBdr>
        </w:div>
        <w:div w:id="1641808495">
          <w:marLeft w:val="446"/>
          <w:marRight w:val="0"/>
          <w:marTop w:val="0"/>
          <w:marBottom w:val="0"/>
          <w:divBdr>
            <w:top w:val="none" w:sz="0" w:space="0" w:color="auto"/>
            <w:left w:val="none" w:sz="0" w:space="0" w:color="auto"/>
            <w:bottom w:val="none" w:sz="0" w:space="0" w:color="auto"/>
            <w:right w:val="none" w:sz="0" w:space="0" w:color="auto"/>
          </w:divBdr>
        </w:div>
        <w:div w:id="1692994526">
          <w:marLeft w:val="446"/>
          <w:marRight w:val="0"/>
          <w:marTop w:val="0"/>
          <w:marBottom w:val="0"/>
          <w:divBdr>
            <w:top w:val="none" w:sz="0" w:space="0" w:color="auto"/>
            <w:left w:val="none" w:sz="0" w:space="0" w:color="auto"/>
            <w:bottom w:val="none" w:sz="0" w:space="0" w:color="auto"/>
            <w:right w:val="none" w:sz="0" w:space="0" w:color="auto"/>
          </w:divBdr>
        </w:div>
        <w:div w:id="1796097414">
          <w:marLeft w:val="446"/>
          <w:marRight w:val="0"/>
          <w:marTop w:val="0"/>
          <w:marBottom w:val="0"/>
          <w:divBdr>
            <w:top w:val="none" w:sz="0" w:space="0" w:color="auto"/>
            <w:left w:val="none" w:sz="0" w:space="0" w:color="auto"/>
            <w:bottom w:val="none" w:sz="0" w:space="0" w:color="auto"/>
            <w:right w:val="none" w:sz="0" w:space="0" w:color="auto"/>
          </w:divBdr>
        </w:div>
        <w:div w:id="1874883840">
          <w:marLeft w:val="446"/>
          <w:marRight w:val="0"/>
          <w:marTop w:val="0"/>
          <w:marBottom w:val="0"/>
          <w:divBdr>
            <w:top w:val="none" w:sz="0" w:space="0" w:color="auto"/>
            <w:left w:val="none" w:sz="0" w:space="0" w:color="auto"/>
            <w:bottom w:val="none" w:sz="0" w:space="0" w:color="auto"/>
            <w:right w:val="none" w:sz="0" w:space="0" w:color="auto"/>
          </w:divBdr>
        </w:div>
        <w:div w:id="1923366205">
          <w:marLeft w:val="446"/>
          <w:marRight w:val="0"/>
          <w:marTop w:val="0"/>
          <w:marBottom w:val="0"/>
          <w:divBdr>
            <w:top w:val="none" w:sz="0" w:space="0" w:color="auto"/>
            <w:left w:val="none" w:sz="0" w:space="0" w:color="auto"/>
            <w:bottom w:val="none" w:sz="0" w:space="0" w:color="auto"/>
            <w:right w:val="none" w:sz="0" w:space="0" w:color="auto"/>
          </w:divBdr>
        </w:div>
        <w:div w:id="1973559107">
          <w:marLeft w:val="446"/>
          <w:marRight w:val="0"/>
          <w:marTop w:val="0"/>
          <w:marBottom w:val="0"/>
          <w:divBdr>
            <w:top w:val="none" w:sz="0" w:space="0" w:color="auto"/>
            <w:left w:val="none" w:sz="0" w:space="0" w:color="auto"/>
            <w:bottom w:val="none" w:sz="0" w:space="0" w:color="auto"/>
            <w:right w:val="none" w:sz="0" w:space="0" w:color="auto"/>
          </w:divBdr>
        </w:div>
        <w:div w:id="2008437195">
          <w:marLeft w:val="446"/>
          <w:marRight w:val="0"/>
          <w:marTop w:val="0"/>
          <w:marBottom w:val="0"/>
          <w:divBdr>
            <w:top w:val="none" w:sz="0" w:space="0" w:color="auto"/>
            <w:left w:val="none" w:sz="0" w:space="0" w:color="auto"/>
            <w:bottom w:val="none" w:sz="0" w:space="0" w:color="auto"/>
            <w:right w:val="none" w:sz="0" w:space="0" w:color="auto"/>
          </w:divBdr>
        </w:div>
        <w:div w:id="2023050400">
          <w:marLeft w:val="446"/>
          <w:marRight w:val="0"/>
          <w:marTop w:val="0"/>
          <w:marBottom w:val="0"/>
          <w:divBdr>
            <w:top w:val="none" w:sz="0" w:space="0" w:color="auto"/>
            <w:left w:val="none" w:sz="0" w:space="0" w:color="auto"/>
            <w:bottom w:val="none" w:sz="0" w:space="0" w:color="auto"/>
            <w:right w:val="none" w:sz="0" w:space="0" w:color="auto"/>
          </w:divBdr>
        </w:div>
      </w:divsChild>
    </w:div>
    <w:div w:id="2101948934">
      <w:bodyDiv w:val="1"/>
      <w:marLeft w:val="0"/>
      <w:marRight w:val="0"/>
      <w:marTop w:val="0"/>
      <w:marBottom w:val="0"/>
      <w:divBdr>
        <w:top w:val="none" w:sz="0" w:space="0" w:color="auto"/>
        <w:left w:val="none" w:sz="0" w:space="0" w:color="auto"/>
        <w:bottom w:val="none" w:sz="0" w:space="0" w:color="auto"/>
        <w:right w:val="none" w:sz="0" w:space="0" w:color="auto"/>
      </w:divBdr>
      <w:divsChild>
        <w:div w:id="106507869">
          <w:marLeft w:val="547"/>
          <w:marRight w:val="0"/>
          <w:marTop w:val="0"/>
          <w:marBottom w:val="0"/>
          <w:divBdr>
            <w:top w:val="none" w:sz="0" w:space="0" w:color="auto"/>
            <w:left w:val="none" w:sz="0" w:space="0" w:color="auto"/>
            <w:bottom w:val="none" w:sz="0" w:space="0" w:color="auto"/>
            <w:right w:val="none" w:sz="0" w:space="0" w:color="auto"/>
          </w:divBdr>
        </w:div>
        <w:div w:id="697434880">
          <w:marLeft w:val="547"/>
          <w:marRight w:val="0"/>
          <w:marTop w:val="0"/>
          <w:marBottom w:val="0"/>
          <w:divBdr>
            <w:top w:val="none" w:sz="0" w:space="0" w:color="auto"/>
            <w:left w:val="none" w:sz="0" w:space="0" w:color="auto"/>
            <w:bottom w:val="none" w:sz="0" w:space="0" w:color="auto"/>
            <w:right w:val="none" w:sz="0" w:space="0" w:color="auto"/>
          </w:divBdr>
        </w:div>
        <w:div w:id="991326402">
          <w:marLeft w:val="547"/>
          <w:marRight w:val="0"/>
          <w:marTop w:val="0"/>
          <w:marBottom w:val="0"/>
          <w:divBdr>
            <w:top w:val="none" w:sz="0" w:space="0" w:color="auto"/>
            <w:left w:val="none" w:sz="0" w:space="0" w:color="auto"/>
            <w:bottom w:val="none" w:sz="0" w:space="0" w:color="auto"/>
            <w:right w:val="none" w:sz="0" w:space="0" w:color="auto"/>
          </w:divBdr>
        </w:div>
      </w:divsChild>
    </w:div>
    <w:div w:id="2127921028">
      <w:bodyDiv w:val="1"/>
      <w:marLeft w:val="0"/>
      <w:marRight w:val="0"/>
      <w:marTop w:val="0"/>
      <w:marBottom w:val="0"/>
      <w:divBdr>
        <w:top w:val="none" w:sz="0" w:space="0" w:color="auto"/>
        <w:left w:val="none" w:sz="0" w:space="0" w:color="auto"/>
        <w:bottom w:val="none" w:sz="0" w:space="0" w:color="auto"/>
        <w:right w:val="none" w:sz="0" w:space="0" w:color="auto"/>
      </w:divBdr>
      <w:divsChild>
        <w:div w:id="1673802926">
          <w:marLeft w:val="446"/>
          <w:marRight w:val="0"/>
          <w:marTop w:val="0"/>
          <w:marBottom w:val="0"/>
          <w:divBdr>
            <w:top w:val="none" w:sz="0" w:space="0" w:color="auto"/>
            <w:left w:val="none" w:sz="0" w:space="0" w:color="auto"/>
            <w:bottom w:val="none" w:sz="0" w:space="0" w:color="auto"/>
            <w:right w:val="none" w:sz="0" w:space="0" w:color="auto"/>
          </w:divBdr>
        </w:div>
        <w:div w:id="2115049737">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yperlink" Target="https://www.pmc.gov.au/resources/commonwealth-coat-arms-information-and-guidelines" TargetMode="External"/><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creativecommons.org/licenses/by/4.0/" TargetMode="External"/><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https://creativecommons.org/" TargetMode="External"/><Relationship Id="rId20" Type="http://schemas.openxmlformats.org/officeDocument/2006/relationships/image" Target="media/image5.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nacc.gov.au/what-serious-or-systemic-corrupt-conduct" TargetMode="Externa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8.pn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nacc.gov.au/" TargetMode="External"/><Relationship Id="rId22" Type="http://schemas.openxmlformats.org/officeDocument/2006/relationships/image" Target="media/image7.jpeg"/><Relationship Id="rId27" Type="http://schemas.openxmlformats.org/officeDocument/2006/relationships/image" Target="media/image11.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NACC factsheets">
  <a:themeElements>
    <a:clrScheme name="Factsheets">
      <a:dk1>
        <a:srgbClr val="1B598C"/>
      </a:dk1>
      <a:lt1>
        <a:srgbClr val="E1E8F6"/>
      </a:lt1>
      <a:dk2>
        <a:srgbClr val="2F3A48"/>
      </a:dk2>
      <a:lt2>
        <a:srgbClr val="F1F4FA"/>
      </a:lt2>
      <a:accent1>
        <a:srgbClr val="54C6D3"/>
      </a:accent1>
      <a:accent2>
        <a:srgbClr val="19B1C3"/>
      </a:accent2>
      <a:accent3>
        <a:srgbClr val="1A5A8D"/>
      </a:accent3>
      <a:accent4>
        <a:srgbClr val="44546A"/>
      </a:accent4>
      <a:accent5>
        <a:srgbClr val="FFFFFF"/>
      </a:accent5>
      <a:accent6>
        <a:srgbClr val="2F3A48"/>
      </a:accent6>
      <a:hlink>
        <a:srgbClr val="0563C1"/>
      </a:hlink>
      <a:folHlink>
        <a:srgbClr val="954F72"/>
      </a:folHlink>
    </a:clrScheme>
    <a:fontScheme name="Custom 1">
      <a:majorFont>
        <a:latin typeface="Work Sans"/>
        <a:ea typeface=""/>
        <a:cs typeface=""/>
      </a:majorFont>
      <a:minorFont>
        <a:latin typeface="Work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F3162-3935-4D16-8D11-CC632987C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10669</Words>
  <Characters>60816</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2026-08-19T06:30:00Z</dcterms:created>
  <dcterms:modified xsi:type="dcterms:W3CDTF">2026-08-24T00:25:00Z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553b7e36,21ec8e39,59711df4</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5e9399c2,3d9f8e05,27877d9a</vt:lpwstr>
  </property>
  <property fmtid="{D5CDD505-2E9C-101B-9397-08002B2CF9AE}" pid="6" name="ClassificationContentMarkingFooterFontProps">
    <vt:lpwstr>#ff0000,12,Aptos</vt:lpwstr>
  </property>
  <property fmtid="{D5CDD505-2E9C-101B-9397-08002B2CF9AE}" pid="7" name="ClassificationContentMarkingFooterText">
    <vt:lpwstr>OFFICIAL </vt:lpwstr>
  </property>
  <property fmtid="{D5CDD505-2E9C-101B-9397-08002B2CF9AE}" pid="8" name="MSIP_Label_4ba86659-d6e4-4b6d-88ae-202639b32f10_Enabled">
    <vt:lpwstr>true</vt:lpwstr>
  </property>
  <property fmtid="{D5CDD505-2E9C-101B-9397-08002B2CF9AE}" pid="9" name="MSIP_Label_4ba86659-d6e4-4b6d-88ae-202639b32f10_SetDate">
    <vt:lpwstr>2026-08-06T04:13:10Z</vt:lpwstr>
  </property>
  <property fmtid="{D5CDD505-2E9C-101B-9397-08002B2CF9AE}" pid="10" name="MSIP_Label_4ba86659-d6e4-4b6d-88ae-202639b32f10_Method">
    <vt:lpwstr>Privileged</vt:lpwstr>
  </property>
  <property fmtid="{D5CDD505-2E9C-101B-9397-08002B2CF9AE}" pid="11" name="MSIP_Label_4ba86659-d6e4-4b6d-88ae-202639b32f10_Name">
    <vt:lpwstr>58a895b5-cb81-4777-98ae-74e2a157223f</vt:lpwstr>
  </property>
  <property fmtid="{D5CDD505-2E9C-101B-9397-08002B2CF9AE}" pid="12" name="MSIP_Label_4ba86659-d6e4-4b6d-88ae-202639b32f10_SiteId">
    <vt:lpwstr>f7f84514-8dcd-479a-9ae7-7501fc047b54</vt:lpwstr>
  </property>
  <property fmtid="{D5CDD505-2E9C-101B-9397-08002B2CF9AE}" pid="13" name="MSIP_Label_4ba86659-d6e4-4b6d-88ae-202639b32f10_ActionId">
    <vt:lpwstr>b7b00809-fdad-4959-bdd4-bae94d06ee02</vt:lpwstr>
  </property>
  <property fmtid="{D5CDD505-2E9C-101B-9397-08002B2CF9AE}" pid="14" name="MSIP_Label_4ba86659-d6e4-4b6d-88ae-202639b32f10_ContentBits">
    <vt:lpwstr>3</vt:lpwstr>
  </property>
  <property fmtid="{D5CDD505-2E9C-101B-9397-08002B2CF9AE}" pid="15" name="MSIP_Label_4ba86659-d6e4-4b6d-88ae-202639b32f10_Tag">
    <vt:lpwstr>10, 0, 1, 1</vt:lpwstr>
  </property>
</Properties>
</file>